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D6" w:rsidRDefault="00AF3AD6" w:rsidP="00AF3AD6">
      <w:pPr>
        <w:autoSpaceDE w:val="0"/>
        <w:autoSpaceDN w:val="0"/>
        <w:adjustRightInd w:val="0"/>
        <w:spacing w:after="0" w:line="240" w:lineRule="auto"/>
        <w:rPr>
          <w:rFonts w:ascii="TimesNewRomanPSMT" w:hAnsi="TimesNewRomanPSMT" w:cs="TimesNewRomanPSMT"/>
          <w:color w:val="000000"/>
          <w:sz w:val="20"/>
          <w:szCs w:val="20"/>
        </w:rPr>
      </w:pPr>
    </w:p>
    <w:p w:rsidR="00AC3584" w:rsidRDefault="00AC3584" w:rsidP="00AF3AD6">
      <w:pPr>
        <w:autoSpaceDE w:val="0"/>
        <w:autoSpaceDN w:val="0"/>
        <w:adjustRightInd w:val="0"/>
        <w:spacing w:after="0" w:line="240" w:lineRule="auto"/>
        <w:rPr>
          <w:rFonts w:ascii="TimesNewRomanPS-BoldMT" w:hAnsi="TimesNewRomanPS-BoldMT" w:cs="TimesNewRomanPS-BoldMT"/>
          <w:b/>
          <w:bCs/>
          <w:color w:val="9A9A9A"/>
          <w:sz w:val="28"/>
          <w:szCs w:val="28"/>
        </w:rPr>
      </w:pPr>
      <w:bookmarkStart w:id="0" w:name="_GoBack"/>
      <w:bookmarkEnd w:id="0"/>
    </w:p>
    <w:p w:rsidR="00AF3AD6" w:rsidRDefault="00AF3AD6" w:rsidP="00AF3AD6">
      <w:pPr>
        <w:autoSpaceDE w:val="0"/>
        <w:autoSpaceDN w:val="0"/>
        <w:adjustRightInd w:val="0"/>
        <w:spacing w:after="0" w:line="240" w:lineRule="auto"/>
        <w:rPr>
          <w:rFonts w:ascii="TimesNewRomanPS-BoldMT" w:hAnsi="TimesNewRomanPS-BoldMT" w:cs="TimesNewRomanPS-BoldMT"/>
          <w:b/>
          <w:bCs/>
          <w:color w:val="9A9A9A"/>
          <w:sz w:val="28"/>
          <w:szCs w:val="28"/>
        </w:rPr>
      </w:pPr>
    </w:p>
    <w:p w:rsidR="00AF3AD6" w:rsidRDefault="00AF3AD6" w:rsidP="00AF3AD6">
      <w:pPr>
        <w:autoSpaceDE w:val="0"/>
        <w:autoSpaceDN w:val="0"/>
        <w:adjustRightInd w:val="0"/>
        <w:spacing w:after="0" w:line="240" w:lineRule="auto"/>
        <w:rPr>
          <w:rFonts w:ascii="TimesNewRomanPS-BoldMT" w:hAnsi="TimesNewRomanPS-BoldMT" w:cs="TimesNewRomanPS-BoldMT"/>
          <w:b/>
          <w:bCs/>
          <w:color w:val="9A9A9A"/>
          <w:sz w:val="28"/>
          <w:szCs w:val="28"/>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9A9A9A"/>
          <w:sz w:val="28"/>
          <w:szCs w:val="28"/>
        </w:rPr>
      </w:pPr>
    </w:p>
    <w:p w:rsidR="00AF3AD6" w:rsidRDefault="00AF3AD6" w:rsidP="00AF3AD6">
      <w:pPr>
        <w:autoSpaceDE w:val="0"/>
        <w:autoSpaceDN w:val="0"/>
        <w:adjustRightInd w:val="0"/>
        <w:spacing w:after="0" w:line="240" w:lineRule="auto"/>
        <w:rPr>
          <w:rFonts w:ascii="TimesNewRomanPS-BoldMT" w:hAnsi="TimesNewRomanPS-BoldMT" w:cs="TimesNewRomanPS-BoldMT"/>
          <w:b/>
          <w:bCs/>
          <w:color w:val="9A9A9A"/>
          <w:sz w:val="28"/>
          <w:szCs w:val="28"/>
        </w:rPr>
      </w:pPr>
    </w:p>
    <w:p w:rsidR="00AF3AD6" w:rsidRDefault="00AF3AD6" w:rsidP="001F6C68">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DICHIARAZIONE DI CONSENSO INFORMATO PER</w:t>
      </w:r>
    </w:p>
    <w:p w:rsidR="00AF3AD6" w:rsidRDefault="00AF3AD6" w:rsidP="001F6C68">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PROCREAZIONE MEDICALMENTE ASSISTITA</w:t>
      </w:r>
    </w:p>
    <w:p w:rsidR="00AF3AD6" w:rsidRDefault="00AF3AD6" w:rsidP="001F6C68">
      <w:pPr>
        <w:autoSpaceDE w:val="0"/>
        <w:autoSpaceDN w:val="0"/>
        <w:adjustRightInd w:val="0"/>
        <w:spacing w:after="0" w:line="240" w:lineRule="auto"/>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Ai sensi della legge 19 febbraio 2004, n.40</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La sottoscritta ………………………………………………………………………………………...</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nata a ………………………………………………….il ……………………………………………</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e il sottoscritto …………………………………………………………………………………….….</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nato a ………………………………………………….il ……………………………………..…….</w:t>
      </w:r>
    </w:p>
    <w:p w:rsidR="00AF3AD6" w:rsidRDefault="00AF3AD6" w:rsidP="001F6C68">
      <w:pPr>
        <w:autoSpaceDE w:val="0"/>
        <w:autoSpaceDN w:val="0"/>
        <w:adjustRightInd w:val="0"/>
        <w:spacing w:after="0" w:line="240" w:lineRule="auto"/>
        <w:jc w:val="both"/>
        <w:rPr>
          <w:rFonts w:ascii="TimesNewRomanPS-BoldMT" w:hAnsi="TimesNewRomanPS-BoldMT" w:cs="TimesNewRomanPS-BoldMT"/>
          <w:b/>
          <w:bCs/>
          <w:color w:val="000000"/>
        </w:rPr>
      </w:pPr>
      <w:r>
        <w:rPr>
          <w:rFonts w:ascii="TimesNewRomanPSMT" w:hAnsi="TimesNewRomanPSMT" w:cs="TimesNewRomanPSMT"/>
          <w:color w:val="000000"/>
        </w:rPr>
        <w:t xml:space="preserve">Accettiamo di essere sottoposti ad un ciclo di </w:t>
      </w:r>
      <w:r>
        <w:rPr>
          <w:rFonts w:ascii="TimesNewRomanPS-BoldMT" w:hAnsi="TimesNewRomanPS-BoldMT" w:cs="TimesNewRomanPS-BoldMT"/>
          <w:b/>
          <w:bCs/>
          <w:color w:val="000000"/>
        </w:rPr>
        <w:t>INSEMINAZIONE INTRAUTERINA</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per trovare attraverso questa terapia una possibile soluzione al nostra infertilità / sterilità di coppia,</w:t>
      </w:r>
      <w:r w:rsidR="00BE055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dopo aver compiuto un iter diagnostico al fine di identificare le cause e le possibili alternative</w:t>
      </w:r>
      <w:r w:rsidR="00BE0555">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terapeutiche alla procreazione assistita.</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Dichiariamo di aver preliminarmente effettuato u</w:t>
      </w:r>
      <w:r w:rsidR="00BE0555">
        <w:rPr>
          <w:rFonts w:ascii="TimesNewRomanPSMT" w:hAnsi="TimesNewRomanPSMT" w:cs="TimesNewRomanPSMT"/>
          <w:color w:val="000000"/>
        </w:rPr>
        <w:t>no/più colloquio/i con il Dott………………….……</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della struttura sopra indicata nel corso del/i quale/i siamo stati informati, in modo chiaro ed esaustivo, in</w:t>
      </w:r>
      <w:r w:rsidR="00BE0555">
        <w:rPr>
          <w:rFonts w:ascii="TimesNewRomanPSMT" w:hAnsi="TimesNewRomanPSMT" w:cs="TimesNewRomanPSMT"/>
          <w:color w:val="000000"/>
        </w:rPr>
        <w:t xml:space="preserve"> </w:t>
      </w:r>
      <w:r>
        <w:rPr>
          <w:rFonts w:ascii="TimesNewRomanPSMT" w:hAnsi="TimesNewRomanPSMT" w:cs="TimesNewRomanPSMT"/>
          <w:color w:val="000000"/>
        </w:rPr>
        <w:t>merito ai seguenti punti:</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1. </w:t>
      </w:r>
      <w:r w:rsidR="004036BD">
        <w:rPr>
          <w:rFonts w:ascii="TimesNewRomanPSMT" w:hAnsi="TimesNewRomanPSMT" w:cs="TimesNewRomanPSMT"/>
          <w:color w:val="000000"/>
        </w:rPr>
        <w:t>P</w:t>
      </w:r>
      <w:r>
        <w:rPr>
          <w:rFonts w:ascii="TimesNewRomanPSMT" w:hAnsi="TimesNewRomanPSMT" w:cs="TimesNewRomanPSMT"/>
          <w:color w:val="000000"/>
        </w:rPr>
        <w:t xml:space="preserve">ossibilità di </w:t>
      </w:r>
      <w:r>
        <w:rPr>
          <w:rFonts w:ascii="TimesNewRomanPS-BoldMT" w:hAnsi="TimesNewRomanPS-BoldMT" w:cs="TimesNewRomanPS-BoldMT"/>
          <w:b/>
          <w:bCs/>
          <w:color w:val="000000"/>
        </w:rPr>
        <w:t xml:space="preserve">ricorrere a procedure di adozione o di affidamento </w:t>
      </w:r>
      <w:r>
        <w:rPr>
          <w:rFonts w:ascii="TimesNewRomanPSMT" w:hAnsi="TimesNewRomanPSMT" w:cs="TimesNewRomanPSMT"/>
          <w:color w:val="000000"/>
        </w:rPr>
        <w:t>ai sensi della legge 4 maggio</w:t>
      </w:r>
      <w:r w:rsidR="00BE0555">
        <w:rPr>
          <w:rFonts w:ascii="TimesNewRomanPSMT" w:hAnsi="TimesNewRomanPSMT" w:cs="TimesNewRomanPSMT"/>
          <w:color w:val="000000"/>
        </w:rPr>
        <w:t xml:space="preserve"> </w:t>
      </w:r>
      <w:r>
        <w:rPr>
          <w:rFonts w:ascii="TimesNewRomanPSMT" w:hAnsi="TimesNewRomanPSMT" w:cs="TimesNewRomanPSMT"/>
          <w:color w:val="000000"/>
        </w:rPr>
        <w:t>1983, n.184, e successive modificazioni, come alternativa alla procreazione medicalmente assistita;</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BoldMT" w:hAnsi="TimesNewRomanPS-BoldMT" w:cs="TimesNewRomanPS-BoldMT"/>
          <w:b/>
          <w:bCs/>
          <w:color w:val="000000"/>
          <w:sz w:val="18"/>
          <w:szCs w:val="18"/>
        </w:rPr>
        <w:t xml:space="preserve">2. </w:t>
      </w:r>
      <w:r w:rsidR="004036BD">
        <w:rPr>
          <w:rFonts w:ascii="TimesNewRomanPS-BoldMT" w:hAnsi="TimesNewRomanPS-BoldMT" w:cs="TimesNewRomanPS-BoldMT"/>
          <w:b/>
          <w:bCs/>
          <w:color w:val="000000"/>
        </w:rPr>
        <w:t>C</w:t>
      </w:r>
      <w:r>
        <w:rPr>
          <w:rFonts w:ascii="TimesNewRomanPS-BoldMT" w:hAnsi="TimesNewRomanPS-BoldMT" w:cs="TimesNewRomanPS-BoldMT"/>
          <w:b/>
          <w:bCs/>
          <w:color w:val="000000"/>
        </w:rPr>
        <w:t xml:space="preserve">onseguenze giuridiche </w:t>
      </w:r>
      <w:r>
        <w:rPr>
          <w:rFonts w:ascii="TimesNewRomanPSMT" w:hAnsi="TimesNewRomanPSMT" w:cs="TimesNewRomanPSMT"/>
          <w:color w:val="000000"/>
        </w:rPr>
        <w:t>della procreazione medicalmente assistita per la donna, per l’uomo e per il</w:t>
      </w:r>
      <w:r w:rsidR="00BE0555">
        <w:rPr>
          <w:rFonts w:ascii="TimesNewRomanPSMT" w:hAnsi="TimesNewRomanPSMT" w:cs="TimesNewRomanPSMT"/>
          <w:color w:val="000000"/>
        </w:rPr>
        <w:t xml:space="preserve"> </w:t>
      </w:r>
      <w:r>
        <w:rPr>
          <w:rFonts w:ascii="TimesNewRomanPSMT" w:hAnsi="TimesNewRomanPSMT" w:cs="TimesNewRomanPSMT"/>
          <w:color w:val="000000"/>
        </w:rPr>
        <w:t>nascituro di cui agli articoli 8,9,12, comma 3, della legge n.40/2004 di seguito descritti:</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BoldItalicMT" w:hAnsi="TimesNewRomanPS-BoldItalicMT" w:cs="TimesNewRomanPS-BoldItalicMT"/>
          <w:b/>
          <w:bCs/>
          <w:i/>
          <w:iCs/>
          <w:color w:val="000000"/>
          <w:sz w:val="16"/>
          <w:szCs w:val="16"/>
        </w:rPr>
        <w:t xml:space="preserve">Articolo 8. </w:t>
      </w:r>
      <w:r>
        <w:rPr>
          <w:rFonts w:ascii="TimesNewRomanPS-ItalicMT" w:hAnsi="TimesNewRomanPS-ItalicMT" w:cs="TimesNewRomanPS-ItalicMT"/>
          <w:i/>
          <w:iCs/>
          <w:color w:val="000000"/>
          <w:sz w:val="16"/>
          <w:szCs w:val="16"/>
        </w:rPr>
        <w:t>(Stato giuridico del nato)</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1. I nati a seguito dell’applicazione delle tecniche di procreazione medicalmente assistita hanno lo stato di figli legittimi o di figli riconosciuti della</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coppia che ha espresso la volontà di ricorrere alle tecniche medesime ai sensi dell’articolo 6.</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BoldItalicMT" w:hAnsi="TimesNewRomanPS-BoldItalicMT" w:cs="TimesNewRomanPS-BoldItalicMT"/>
          <w:b/>
          <w:bCs/>
          <w:i/>
          <w:iCs/>
          <w:color w:val="000000"/>
          <w:sz w:val="16"/>
          <w:szCs w:val="16"/>
        </w:rPr>
        <w:t xml:space="preserve">Articolo 9. </w:t>
      </w:r>
      <w:r>
        <w:rPr>
          <w:rFonts w:ascii="TimesNewRomanPS-ItalicMT" w:hAnsi="TimesNewRomanPS-ItalicMT" w:cs="TimesNewRomanPS-ItalicMT"/>
          <w:i/>
          <w:iCs/>
          <w:color w:val="000000"/>
          <w:sz w:val="16"/>
          <w:szCs w:val="16"/>
        </w:rPr>
        <w:t>(Divieto del disconoscimento della paternità e dell’anonimato della madre)</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1. Qualora si ricorra a tecniche di procreazione medicalmente assistita di tipo eterologo in violazione del divieto di cui all’articolo 4, comma 3, il</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coniuge o il convivente il cui consenso è ricavabile da atti concludenti non può esercitare l’azione di disconoscimento della paternità nei casi previsti</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dall’articolo 235, primo comma, numeri 1) e 2), del codice civile, né l’impugnazione di cui all’articolo 263 dello stesso codice.</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2. La madre del nato a seguito dell’applicazione di tecniche di procreazione medicalmente assistita non può dichiarare la volontà di non essere</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nominata, ai sensi dell’articolo 30, comma 1, del regolamento di cui al decreto del Presidente della Repubblica 3 novembre 2000, n.396.</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3. In caso di applicazione di tecniche di tipo eterologo in violazione del divieto di cui all'articolo 4, comma 3, il donatore di gameti non acquisisce</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alcuna relazione giuridica parentale con il nato e non può far valere nei suoi confronti alcun diritto né essere titolare di obblighi.</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BoldItalicMT" w:hAnsi="TimesNewRomanPS-BoldItalicMT" w:cs="TimesNewRomanPS-BoldItalicMT"/>
          <w:b/>
          <w:bCs/>
          <w:i/>
          <w:iCs/>
          <w:color w:val="000000"/>
          <w:sz w:val="16"/>
          <w:szCs w:val="16"/>
        </w:rPr>
        <w:t xml:space="preserve">Articolo 12. </w:t>
      </w:r>
      <w:r>
        <w:rPr>
          <w:rFonts w:ascii="TimesNewRomanPS-ItalicMT" w:hAnsi="TimesNewRomanPS-ItalicMT" w:cs="TimesNewRomanPS-ItalicMT"/>
          <w:i/>
          <w:iCs/>
          <w:color w:val="000000"/>
          <w:sz w:val="16"/>
          <w:szCs w:val="16"/>
        </w:rPr>
        <w:t>(Divieti generali e sanzioni)</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3. Per l’accertamento dei requisiti di cui comma 2 il medico si avvale di una dichiarazione sottoscritta dai soggetti richiedenti. In caso di</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dichiarazioni mendaci si applica l’articolo 76, commi 1 e 2 del testo unico delle disposizioni legislative e regolamentari in materia di</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documentazione amministrativa, di cui al Decreto del Presidente della Repubblica 28 dicembre 2000, n.445.</w:t>
      </w: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BE1B2E" w:rsidRDefault="00BE1B2E"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3. </w:t>
      </w:r>
      <w:r w:rsidR="004036BD">
        <w:rPr>
          <w:rFonts w:ascii="TimesNewRomanPSMT" w:hAnsi="TimesNewRomanPSMT" w:cs="TimesNewRomanPSMT"/>
          <w:color w:val="000000"/>
        </w:rPr>
        <w:t>P</w:t>
      </w:r>
      <w:r>
        <w:rPr>
          <w:rFonts w:ascii="TimesNewRomanPSMT" w:hAnsi="TimesNewRomanPSMT" w:cs="TimesNewRomanPSMT"/>
          <w:color w:val="000000"/>
        </w:rPr>
        <w:t xml:space="preserve">ossibilità di </w:t>
      </w:r>
      <w:r>
        <w:rPr>
          <w:rFonts w:ascii="TimesNewRomanPS-BoldMT" w:hAnsi="TimesNewRomanPS-BoldMT" w:cs="TimesNewRomanPS-BoldMT"/>
          <w:b/>
          <w:bCs/>
          <w:color w:val="000000"/>
        </w:rPr>
        <w:t xml:space="preserve">revoca del consenso </w:t>
      </w:r>
      <w:r>
        <w:rPr>
          <w:rFonts w:ascii="TimesNewRomanPSMT" w:hAnsi="TimesNewRomanPSMT" w:cs="TimesNewRomanPSMT"/>
          <w:color w:val="000000"/>
        </w:rPr>
        <w:t>da parte di ciascuno dei soggetti della coppia richiedente, fino al momen</w:t>
      </w:r>
      <w:r w:rsidR="004036BD">
        <w:rPr>
          <w:rFonts w:ascii="TimesNewRomanPSMT" w:hAnsi="TimesNewRomanPSMT" w:cs="TimesNewRomanPSMT"/>
          <w:color w:val="000000"/>
        </w:rPr>
        <w:t>to della fecondazione</w:t>
      </w:r>
      <w:r>
        <w:rPr>
          <w:rFonts w:ascii="TimesNewRomanPSMT" w:hAnsi="TimesNewRomanPSMT" w:cs="TimesNewRomanPSMT"/>
          <w:color w:val="000000"/>
        </w:rPr>
        <w:t xml:space="preserve"> di cui all’articolo 6, comma 3 della legge 40/2004 di seguito descritto:</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La volontà di entrambi i soggetti di accedere alle tecniche di procreazione medicalmente assistita è espressa per iscritto congiuntamente al medico</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responsabile della struttura, secondo le modalità definite con decreto dei ministri della giustizia e della salute, adottato ai sensi dell’articolo 17,</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comma 3, della legge 23 agosto 1988, n.400, entro 3 mesi dalla data di entrata in vigore della presente legge. Tra la manifestazione della volontà e</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l’applicazione della tecnica deve intercorrere un termine non inferiore a sette giorni. La volontà può essere revocata da ciascuno dei soggetti indicati</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dal presente comma fino al moment</w:t>
      </w:r>
      <w:r w:rsidR="004036BD">
        <w:rPr>
          <w:rFonts w:ascii="TimesNewRomanPS-ItalicMT" w:hAnsi="TimesNewRomanPS-ItalicMT" w:cs="TimesNewRomanPS-ItalicMT"/>
          <w:i/>
          <w:iCs/>
          <w:color w:val="000000"/>
          <w:sz w:val="16"/>
          <w:szCs w:val="16"/>
        </w:rPr>
        <w:t>o della fecondazione.</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4. </w:t>
      </w:r>
      <w:r w:rsidR="004036BD">
        <w:rPr>
          <w:rFonts w:ascii="TimesNewRomanPSMT" w:hAnsi="TimesNewRomanPSMT" w:cs="TimesNewRomanPSMT"/>
          <w:color w:val="000000"/>
        </w:rPr>
        <w:t>P</w:t>
      </w:r>
      <w:r>
        <w:rPr>
          <w:rFonts w:ascii="TimesNewRomanPSMT" w:hAnsi="TimesNewRomanPSMT" w:cs="TimesNewRomanPSMT"/>
          <w:color w:val="000000"/>
        </w:rPr>
        <w:t xml:space="preserve">ossibile </w:t>
      </w:r>
      <w:r>
        <w:rPr>
          <w:rFonts w:ascii="TimesNewRomanPS-BoldMT" w:hAnsi="TimesNewRomanPS-BoldMT" w:cs="TimesNewRomanPS-BoldMT"/>
          <w:b/>
          <w:bCs/>
          <w:color w:val="000000"/>
        </w:rPr>
        <w:t xml:space="preserve">decisione del medico responsabile </w:t>
      </w:r>
      <w:r>
        <w:rPr>
          <w:rFonts w:ascii="TimesNewRomanPSMT" w:hAnsi="TimesNewRomanPSMT" w:cs="TimesNewRomanPSMT"/>
          <w:color w:val="000000"/>
        </w:rPr>
        <w:t>della struttura di non procedere alla procreazione medicalmente assistita di cui all’articolo 6, comma 4 della legge n.40/2004 di seguito descritto:</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Fatti salvi i requisiti previsti dalla presente legge, il medico responsabile della struttura può decidere di non procedere alla procreazione</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medicalmente assistita, esclusivamente per motivi di ordine medico-sanitario. In tal senso deve fornire alla coppia motivazioni scritta di tale</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decisione.</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5. </w:t>
      </w:r>
      <w:r w:rsidR="004036BD">
        <w:rPr>
          <w:rFonts w:ascii="TimesNewRomanPS-BoldMT" w:hAnsi="TimesNewRomanPS-BoldMT" w:cs="TimesNewRomanPS-BoldMT"/>
          <w:b/>
          <w:bCs/>
          <w:color w:val="000000"/>
        </w:rPr>
        <w:t>I</w:t>
      </w:r>
      <w:r>
        <w:rPr>
          <w:rFonts w:ascii="TimesNewRomanPS-BoldMT" w:hAnsi="TimesNewRomanPS-BoldMT" w:cs="TimesNewRomanPS-BoldMT"/>
          <w:b/>
          <w:bCs/>
          <w:color w:val="000000"/>
        </w:rPr>
        <w:t xml:space="preserve">llustrazione della tecnica specifica </w:t>
      </w:r>
      <w:r>
        <w:rPr>
          <w:rFonts w:ascii="TimesNewRomanPSMT" w:hAnsi="TimesNewRomanPSMT" w:cs="TimesNewRomanPSMT"/>
          <w:color w:val="000000"/>
        </w:rPr>
        <w:t>proposta, in ogni fase della sua applicazione:</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1. </w:t>
      </w:r>
      <w:r>
        <w:rPr>
          <w:rFonts w:ascii="TimesNewRomanPS-BoldItalicMT" w:hAnsi="TimesNewRomanPS-BoldItalicMT" w:cs="TimesNewRomanPS-BoldItalicMT"/>
          <w:b/>
          <w:bCs/>
          <w:i/>
          <w:iCs/>
          <w:color w:val="000000"/>
          <w:sz w:val="16"/>
          <w:szCs w:val="16"/>
        </w:rPr>
        <w:t xml:space="preserve">stimolazione ovarica: </w:t>
      </w:r>
      <w:r>
        <w:rPr>
          <w:rFonts w:ascii="TimesNewRomanPS-ItalicMT" w:hAnsi="TimesNewRomanPS-ItalicMT" w:cs="TimesNewRomanPS-ItalicMT"/>
          <w:i/>
          <w:iCs/>
          <w:color w:val="000000"/>
          <w:sz w:val="16"/>
          <w:szCs w:val="16"/>
        </w:rPr>
        <w:t>il trattamento potrebbe richiedere l’utilizzazione di farmaci mirati ad ottenere una crescita follicolare multipla;</w:t>
      </w:r>
    </w:p>
    <w:p w:rsidR="00AF3AD6" w:rsidRP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2. </w:t>
      </w:r>
      <w:r>
        <w:rPr>
          <w:rFonts w:ascii="TimesNewRomanPS-BoldItalicMT" w:hAnsi="TimesNewRomanPS-BoldItalicMT" w:cs="TimesNewRomanPS-BoldItalicMT"/>
          <w:b/>
          <w:bCs/>
          <w:i/>
          <w:iCs/>
          <w:color w:val="000000"/>
          <w:sz w:val="16"/>
          <w:szCs w:val="16"/>
        </w:rPr>
        <w:t xml:space="preserve">monitoraggio ecografico e/o ormonale: </w:t>
      </w:r>
      <w:r>
        <w:rPr>
          <w:rFonts w:ascii="TimesNewRomanPS-ItalicMT" w:hAnsi="TimesNewRomanPS-ItalicMT" w:cs="TimesNewRomanPS-ItalicMT"/>
          <w:i/>
          <w:iCs/>
          <w:color w:val="000000"/>
          <w:sz w:val="16"/>
          <w:szCs w:val="16"/>
        </w:rPr>
        <w:t xml:space="preserve">La crescita follicolare verrà controllata mediante </w:t>
      </w:r>
      <w:r>
        <w:rPr>
          <w:rFonts w:ascii="TimesNewRomanPS-BoldItalicMT" w:hAnsi="TimesNewRomanPS-BoldItalicMT" w:cs="TimesNewRomanPS-BoldItalicMT"/>
          <w:b/>
          <w:bCs/>
          <w:i/>
          <w:iCs/>
          <w:color w:val="000000"/>
          <w:sz w:val="16"/>
          <w:szCs w:val="16"/>
        </w:rPr>
        <w:t xml:space="preserve">prelievi di sangue </w:t>
      </w:r>
      <w:r>
        <w:rPr>
          <w:rFonts w:ascii="TimesNewRomanPS-ItalicMT" w:hAnsi="TimesNewRomanPS-ItalicMT" w:cs="TimesNewRomanPS-ItalicMT"/>
          <w:i/>
          <w:iCs/>
          <w:color w:val="000000"/>
          <w:sz w:val="16"/>
          <w:szCs w:val="16"/>
        </w:rPr>
        <w:t xml:space="preserve">per il dosaggio di ormoni prodotti dai follicoli ovarici ed indagini ecografiche seriate </w:t>
      </w:r>
      <w:r>
        <w:rPr>
          <w:rFonts w:ascii="TimesNewRomanPS-BoldItalicMT" w:hAnsi="TimesNewRomanPS-BoldItalicMT" w:cs="TimesNewRomanPS-BoldItalicMT"/>
          <w:b/>
          <w:bCs/>
          <w:i/>
          <w:iCs/>
          <w:color w:val="000000"/>
          <w:sz w:val="16"/>
          <w:szCs w:val="16"/>
        </w:rPr>
        <w:t>;</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3. </w:t>
      </w:r>
      <w:r>
        <w:rPr>
          <w:rFonts w:ascii="TimesNewRomanPS-BoldItalicMT" w:hAnsi="TimesNewRomanPS-BoldItalicMT" w:cs="TimesNewRomanPS-BoldItalicMT"/>
          <w:b/>
          <w:bCs/>
          <w:i/>
          <w:iCs/>
          <w:color w:val="000000"/>
          <w:sz w:val="16"/>
          <w:szCs w:val="16"/>
        </w:rPr>
        <w:t>raccolta e preparazione del liquido seminale</w:t>
      </w:r>
      <w:r>
        <w:rPr>
          <w:rFonts w:ascii="TimesNewRomanPS-ItalicMT" w:hAnsi="TimesNewRomanPS-ItalicMT" w:cs="TimesNewRomanPS-ItalicMT"/>
          <w:i/>
          <w:iCs/>
          <w:color w:val="000000"/>
          <w:sz w:val="16"/>
          <w:szCs w:val="16"/>
        </w:rPr>
        <w:t>: mediante tecniche atte a favorire la capacità fecondante degli spermatozoi. In caso di campioni prodotti fuori dal centro i dati identificativi devono essere apposti sul contenitore dal soggetto interessato il quale deve fornire una autocertificazione della consegna del proprio campione di liquido seminale controfirmata dall’operatore che accetta il campione;</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4. </w:t>
      </w:r>
      <w:r>
        <w:rPr>
          <w:rFonts w:ascii="TimesNewRomanPS-BoldItalicMT" w:hAnsi="TimesNewRomanPS-BoldItalicMT" w:cs="TimesNewRomanPS-BoldItalicMT"/>
          <w:b/>
          <w:bCs/>
          <w:i/>
          <w:iCs/>
          <w:color w:val="000000"/>
          <w:sz w:val="16"/>
          <w:szCs w:val="16"/>
        </w:rPr>
        <w:t xml:space="preserve">inseminazione intrauterina: </w:t>
      </w:r>
      <w:r>
        <w:rPr>
          <w:rFonts w:ascii="TimesNewRomanPS-ItalicMT" w:hAnsi="TimesNewRomanPS-ItalicMT" w:cs="TimesNewRomanPS-ItalicMT"/>
          <w:i/>
          <w:iCs/>
          <w:color w:val="000000"/>
          <w:sz w:val="16"/>
          <w:szCs w:val="16"/>
        </w:rPr>
        <w:t>avviene per via vaginale.</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6. </w:t>
      </w:r>
      <w:r w:rsidR="004036BD">
        <w:rPr>
          <w:rFonts w:ascii="TimesNewRomanPS-BoldMT" w:hAnsi="TimesNewRomanPS-BoldMT" w:cs="TimesNewRomanPS-BoldMT"/>
          <w:b/>
          <w:bCs/>
          <w:color w:val="000000"/>
        </w:rPr>
        <w:t>P</w:t>
      </w:r>
      <w:r>
        <w:rPr>
          <w:rFonts w:ascii="TimesNewRomanPS-BoldMT" w:hAnsi="TimesNewRomanPS-BoldMT" w:cs="TimesNewRomanPS-BoldMT"/>
          <w:b/>
          <w:bCs/>
          <w:color w:val="000000"/>
        </w:rPr>
        <w:t xml:space="preserve">roblemi bioetici </w:t>
      </w:r>
      <w:r>
        <w:rPr>
          <w:rFonts w:ascii="TimesNewRomanPSMT" w:hAnsi="TimesNewRomanPSMT" w:cs="TimesNewRomanPSMT"/>
          <w:color w:val="000000"/>
        </w:rPr>
        <w:t>connessi all’utilizzo della tecnica: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Il ricorso alle procedure di PMA può sollevare problemi che si collegano con la sensibilità etica individuale, ad esempio a riguardo della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separazione tra vita sessuale e vita riproduttiva. Utilizzare una procedura medica per superare ostacoli al concepimento significa di fatto modificare l'assetto tradizionale, e per alcuni la dignità, del processo procreativo.</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7. </w:t>
      </w:r>
      <w:r w:rsidR="004036BD">
        <w:rPr>
          <w:rFonts w:ascii="TimesNewRomanPSMT" w:hAnsi="TimesNewRomanPSMT" w:cs="TimesNewRomanPSMT"/>
          <w:color w:val="000000"/>
        </w:rPr>
        <w:t>P</w:t>
      </w:r>
      <w:r>
        <w:rPr>
          <w:rFonts w:ascii="TimesNewRomanPSMT" w:hAnsi="TimesNewRomanPSMT" w:cs="TimesNewRomanPSMT"/>
          <w:color w:val="000000"/>
        </w:rPr>
        <w:t xml:space="preserve">ossibili </w:t>
      </w:r>
      <w:r>
        <w:rPr>
          <w:rFonts w:ascii="TimesNewRomanPS-BoldMT" w:hAnsi="TimesNewRomanPS-BoldMT" w:cs="TimesNewRomanPS-BoldMT"/>
          <w:b/>
          <w:bCs/>
          <w:color w:val="000000"/>
        </w:rPr>
        <w:t xml:space="preserve">effetti collaterali </w:t>
      </w:r>
      <w:r>
        <w:rPr>
          <w:rFonts w:ascii="TimesNewRomanPSMT" w:hAnsi="TimesNewRomanPSMT" w:cs="TimesNewRomanPSMT"/>
          <w:color w:val="000000"/>
        </w:rPr>
        <w:t>sanitari conseguenti all’applicazione della tecnica: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Nelle pazienti affette da endometriosi non si può escludere che ripetute stimolazioni farmacologiche delle ovaie mediante gonadotropine possano determinare una recrudescenza della stessa.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Non esiste a tuttora, dopo oltre 40 anni dell’uso routinario dei farmaci utilizzati per l’induzione dell’ovulazione, l’evidenza che questi possano aumentare il rischio di tumori all’ ovaio e alla mammella (Fertil.Steril. vol 83 n2, 2005).</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L’eventuale instaurarsi di una gravidanza può aggravare patologie già presenti nel soggetto (diabete, cardiopatie,nefropatie ecc ) in misura analoga ad un concepimento naturale ed in maggior misura in caso di gravidanza multipla.</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8. </w:t>
      </w:r>
      <w:r w:rsidR="004036BD">
        <w:rPr>
          <w:rFonts w:ascii="TimesNewRomanPSMT" w:hAnsi="TimesNewRomanPSMT" w:cs="TimesNewRomanPSMT"/>
          <w:color w:val="000000"/>
        </w:rPr>
        <w:t>P</w:t>
      </w:r>
      <w:r>
        <w:rPr>
          <w:rFonts w:ascii="TimesNewRomanPSMT" w:hAnsi="TimesNewRomanPSMT" w:cs="TimesNewRomanPSMT"/>
          <w:color w:val="000000"/>
        </w:rPr>
        <w:t xml:space="preserve">ossibili </w:t>
      </w:r>
      <w:r>
        <w:rPr>
          <w:rFonts w:ascii="TimesNewRomanPS-BoldMT" w:hAnsi="TimesNewRomanPS-BoldMT" w:cs="TimesNewRomanPS-BoldMT"/>
          <w:b/>
          <w:bCs/>
          <w:color w:val="000000"/>
        </w:rPr>
        <w:t xml:space="preserve">effetti psicologici </w:t>
      </w:r>
      <w:r>
        <w:rPr>
          <w:rFonts w:ascii="TimesNewRomanPSMT" w:hAnsi="TimesNewRomanPSMT" w:cs="TimesNewRomanPSMT"/>
          <w:color w:val="000000"/>
        </w:rPr>
        <w:t>conseguenti all’applicazione della tecnica: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La maggior parte delle coppie riesce a far fronte alla condizione di infertilità con le proprie risorse ma c'è chi, in qualche momento del percorso terapeutico, soprattutto al moltiplicarsi degli insuccessi, ha necessità di un aiuto psicologico.</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La consapevolezza dell'infertilità, sia nella donna che nell'uomo, è accompagnata da una sofferenza emotiva che si esprime prepotentemente sul piano delle relazioni: relazioni all'interno della coppia, con le famiglie di origine, relazioni della donna con le altre donne, relazioni della coppia nell'ambito più vasto del gruppo sociale.</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Siamo a conoscenza che l’iter terapeutico della PMA è spesso riportato da entrambi i membri della coppia come una esperienza emotivamente e psicologicamente stressante. In particolare alcuni studi hanno evidenziato un incremento del vissuto ansioso durante il trattamento. Un eventuale esito negativo al test di gravidanza potrebbe determinare instabilità emotiva di durata ed intensità variabile.</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La consultazione psicologica può aiutare a far emergere questa sofferenza per elaborarla e contenerla, favorendo l'espressione delle emozioni e delle cause dell'ansia.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Per quanto riguarda lo sviluppo psico-affettivo del nuovo nato, i dati della letteratura sembrano confermare che non sia diverso da quello dei nati da concepimento spontaneo. (Hum..Reprod. Vol 19,n.12, 2004 ; dati dal Report della Organizzazione Mondiale della Sanità del 2002, pag.287).</w:t>
      </w: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DB569D" w:rsidRDefault="00DB569D"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BE1B2E" w:rsidRDefault="00BE1B2E"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BE1B2E" w:rsidRDefault="00BE1B2E"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BE1B2E" w:rsidRDefault="00BE1B2E"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E36E36" w:rsidRDefault="00E36E36"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BE1B2E" w:rsidRDefault="00BE1B2E" w:rsidP="00AF3AD6">
      <w:pPr>
        <w:autoSpaceDE w:val="0"/>
        <w:autoSpaceDN w:val="0"/>
        <w:adjustRightInd w:val="0"/>
        <w:spacing w:after="0" w:line="240" w:lineRule="auto"/>
        <w:rPr>
          <w:rFonts w:ascii="TimesNewRomanPS-ItalicMT" w:hAnsi="TimesNewRomanPS-ItalicMT" w:cs="TimesNewRomanPS-ItalicMT"/>
          <w:i/>
          <w:iCs/>
          <w:color w:val="000000"/>
          <w:sz w:val="16"/>
          <w:szCs w:val="16"/>
        </w:rPr>
      </w:pPr>
    </w:p>
    <w:p w:rsidR="00AF3AD6" w:rsidRDefault="004036BD" w:rsidP="001F6C68">
      <w:pPr>
        <w:autoSpaceDE w:val="0"/>
        <w:autoSpaceDN w:val="0"/>
        <w:adjustRightInd w:val="0"/>
        <w:spacing w:after="0" w:line="240" w:lineRule="auto"/>
        <w:jc w:val="both"/>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lastRenderedPageBreak/>
        <w:t>9. P</w:t>
      </w:r>
      <w:r w:rsidR="00AF3AD6">
        <w:rPr>
          <w:rFonts w:ascii="TimesNewRomanPS-BoldMT" w:hAnsi="TimesNewRomanPS-BoldMT" w:cs="TimesNewRomanPS-BoldMT"/>
          <w:b/>
          <w:bCs/>
          <w:color w:val="000000"/>
          <w:sz w:val="20"/>
          <w:szCs w:val="20"/>
        </w:rPr>
        <w:t>robabilità di successo della tecnica</w:t>
      </w:r>
      <w:r w:rsidR="00AF3AD6">
        <w:rPr>
          <w:rFonts w:ascii="TimesNewRomanPSMT" w:hAnsi="TimesNewRomanPSMT" w:cs="TimesNewRomanPSMT"/>
          <w:color w:val="000000"/>
          <w:sz w:val="20"/>
          <w:szCs w:val="20"/>
        </w:rPr>
        <w:t>: nessuna tecnica di procreazione medicalmente assistita garantisce</w:t>
      </w:r>
      <w:r>
        <w:rPr>
          <w:rFonts w:ascii="TimesNewRomanPSMT" w:hAnsi="TimesNewRomanPSMT" w:cs="TimesNewRomanPSMT"/>
          <w:color w:val="000000"/>
          <w:sz w:val="20"/>
          <w:szCs w:val="20"/>
        </w:rPr>
        <w:t xml:space="preserve"> </w:t>
      </w:r>
      <w:r w:rsidR="00AF3AD6">
        <w:rPr>
          <w:rFonts w:ascii="TimesNewRomanPSMT" w:hAnsi="TimesNewRomanPSMT" w:cs="TimesNewRomanPSMT"/>
          <w:color w:val="000000"/>
          <w:sz w:val="20"/>
          <w:szCs w:val="20"/>
        </w:rPr>
        <w:t>l’ottenimento di una gravidanza. Le percentuali di successo dei differenti trattamenti sono legate all’età della</w:t>
      </w:r>
      <w:r>
        <w:rPr>
          <w:rFonts w:ascii="TimesNewRomanPSMT" w:hAnsi="TimesNewRomanPSMT" w:cs="TimesNewRomanPSMT"/>
          <w:color w:val="000000"/>
          <w:sz w:val="20"/>
          <w:szCs w:val="20"/>
        </w:rPr>
        <w:t xml:space="preserve"> </w:t>
      </w:r>
      <w:r w:rsidR="00AF3AD6">
        <w:rPr>
          <w:rFonts w:ascii="TimesNewRomanPSMT" w:hAnsi="TimesNewRomanPSMT" w:cs="TimesNewRomanPSMT"/>
          <w:color w:val="000000"/>
          <w:sz w:val="20"/>
          <w:szCs w:val="20"/>
        </w:rPr>
        <w:t>donna, alla patologia e possono variare notevolmente da coppia a coppia e da ciclo a ciclo.</w:t>
      </w:r>
    </w:p>
    <w:p w:rsidR="00AF3AD6" w:rsidRDefault="00AF3AD6" w:rsidP="001F6C68">
      <w:pPr>
        <w:autoSpaceDE w:val="0"/>
        <w:autoSpaceDN w:val="0"/>
        <w:adjustRightInd w:val="0"/>
        <w:spacing w:after="0" w:line="240" w:lineRule="auto"/>
        <w:jc w:val="both"/>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Le percentuali di successo della inseminazione intrauterina riportate dalla </w:t>
      </w:r>
      <w:r>
        <w:rPr>
          <w:rFonts w:ascii="TimesNewRomanPS-BoldMT" w:hAnsi="TimesNewRomanPS-BoldMT" w:cs="TimesNewRomanPS-BoldMT"/>
          <w:b/>
          <w:bCs/>
          <w:color w:val="000000"/>
          <w:sz w:val="20"/>
          <w:szCs w:val="20"/>
        </w:rPr>
        <w:t>Relazione annuale sullo stato di</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attuazione della Legge 40 del 19 febbraio 2004 sulla procreazione medicalmente assistita </w:t>
      </w:r>
      <w:r>
        <w:rPr>
          <w:rFonts w:ascii="TimesNewRomanPSMT" w:hAnsi="TimesNewRomanPSMT" w:cs="TimesNewRomanPSMT"/>
          <w:color w:val="000000"/>
          <w:sz w:val="20"/>
          <w:szCs w:val="20"/>
        </w:rPr>
        <w:t>(dati ufficiali del Registro nazionale dell’ISS relativi all’applicazione delle tecniche di PMA effettuate in Italia nell’ anno</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2005) sono:</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In Italia nell’anno 2005, sono state trattate 15.770 coppie, per un totale di 26.292 cicli iniziati. Le gravidanze ottenute sono state 2.805 (10.6% per ciclo; 17.8% per coppia), di cui 1.464 dall’esito noto. I parti sono stati 1.114 e i bambini nati vivi 1.291. Gli esiti negativi (aborto spontaneo o terapeutico, morte intrauterina, gravidanza ectopica) sono stati 350 (23,9% per gravidanza).</w:t>
      </w:r>
    </w:p>
    <w:p w:rsidR="00AF3AD6" w:rsidRDefault="004036BD"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10</w:t>
      </w:r>
      <w:r w:rsidR="00AF3AD6">
        <w:rPr>
          <w:rFonts w:ascii="TimesNewRomanPSMT" w:hAnsi="TimesNewRomanPSMT" w:cs="TimesNewRomanPSMT"/>
          <w:color w:val="000000"/>
        </w:rPr>
        <w:t xml:space="preserve">. </w:t>
      </w:r>
      <w:r>
        <w:rPr>
          <w:rFonts w:ascii="TimesNewRomanPSMT" w:hAnsi="TimesNewRomanPSMT" w:cs="TimesNewRomanPSMT"/>
          <w:color w:val="000000"/>
        </w:rPr>
        <w:t>P</w:t>
      </w:r>
      <w:r w:rsidR="00AF3AD6">
        <w:rPr>
          <w:rFonts w:ascii="TimesNewRomanPSMT" w:hAnsi="TimesNewRomanPSMT" w:cs="TimesNewRomanPSMT"/>
          <w:color w:val="000000"/>
        </w:rPr>
        <w:t xml:space="preserve">ossibili </w:t>
      </w:r>
      <w:r w:rsidR="00AF3AD6">
        <w:rPr>
          <w:rFonts w:ascii="TimesNewRomanPS-BoldMT" w:hAnsi="TimesNewRomanPS-BoldMT" w:cs="TimesNewRomanPS-BoldMT"/>
          <w:b/>
          <w:bCs/>
          <w:color w:val="000000"/>
        </w:rPr>
        <w:t xml:space="preserve">rischi per la donna </w:t>
      </w:r>
      <w:r w:rsidR="00AF3AD6">
        <w:rPr>
          <w:rFonts w:ascii="TimesNewRomanPSMT" w:hAnsi="TimesNewRomanPSMT" w:cs="TimesNewRomanPSMT"/>
          <w:color w:val="000000"/>
        </w:rPr>
        <w:t>derivanti dalla tecnica: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1. l’uso dei farmaci per la stimolazione ovarica espone ad un rischio di insorgenza </w:t>
      </w:r>
      <w:r>
        <w:rPr>
          <w:rFonts w:ascii="TimesNewRomanPS-BoldItalicMT" w:hAnsi="TimesNewRomanPS-BoldItalicMT" w:cs="TimesNewRomanPS-BoldItalicMT"/>
          <w:b/>
          <w:bCs/>
          <w:i/>
          <w:iCs/>
          <w:color w:val="000000"/>
          <w:sz w:val="16"/>
          <w:szCs w:val="16"/>
        </w:rPr>
        <w:t xml:space="preserve">della sindrome di iperstimolazione ovarica severa (OHSS) </w:t>
      </w:r>
      <w:r>
        <w:rPr>
          <w:rFonts w:ascii="TimesNewRomanPS-ItalicMT" w:hAnsi="TimesNewRomanPS-ItalicMT" w:cs="TimesNewRomanPS-ItalicMT"/>
          <w:i/>
          <w:iCs/>
          <w:color w:val="000000"/>
          <w:sz w:val="16"/>
          <w:szCs w:val="16"/>
        </w:rPr>
        <w:t>che può richiedere l’ospedalizzazione urgente. Tale sindrome comporta alterazioni dell’equilibrio idroelettrolitico ed emocoagulativo e si associa ad un abnorme aumento del volume delle ovaie, versamento ascetico, pleurico, possibile comparsa di fenomeni tromboembolici e varie altre</w:t>
      </w:r>
      <w:r w:rsidR="00BE0555">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complicazioni. La letteratura riporta incidenze variabili dallo 0,5% al 5% (Hum Repr 2002). Qualora il rischio di sviluppare tale condizione sia elevato i medici del centro potranno decidere di sospendere il ciclo.</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2. la percentuale di </w:t>
      </w:r>
      <w:r>
        <w:rPr>
          <w:rFonts w:ascii="TimesNewRomanPS-BoldItalicMT" w:hAnsi="TimesNewRomanPS-BoldItalicMT" w:cs="TimesNewRomanPS-BoldItalicMT"/>
          <w:b/>
          <w:bCs/>
          <w:i/>
          <w:iCs/>
          <w:color w:val="000000"/>
          <w:sz w:val="16"/>
          <w:szCs w:val="16"/>
        </w:rPr>
        <w:t xml:space="preserve">gravidanze extrauterine </w:t>
      </w:r>
      <w:r>
        <w:rPr>
          <w:rFonts w:ascii="TimesNewRomanPS-ItalicMT" w:hAnsi="TimesNewRomanPS-ItalicMT" w:cs="TimesNewRomanPS-ItalicMT"/>
          <w:i/>
          <w:iCs/>
          <w:color w:val="000000"/>
          <w:sz w:val="16"/>
          <w:szCs w:val="16"/>
        </w:rPr>
        <w:t>riportata in letteratura è del 2.1% (Fertil Steril 2004);</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3. non è esclusa la possibilità di </w:t>
      </w:r>
      <w:r>
        <w:rPr>
          <w:rFonts w:ascii="TimesNewRomanPS-BoldItalicMT" w:hAnsi="TimesNewRomanPS-BoldItalicMT" w:cs="TimesNewRomanPS-BoldItalicMT"/>
          <w:b/>
          <w:bCs/>
          <w:i/>
          <w:iCs/>
          <w:color w:val="000000"/>
          <w:sz w:val="16"/>
          <w:szCs w:val="16"/>
        </w:rPr>
        <w:t xml:space="preserve">complicanze infettive </w:t>
      </w:r>
      <w:r>
        <w:rPr>
          <w:rFonts w:ascii="TimesNewRomanPS-ItalicMT" w:hAnsi="TimesNewRomanPS-ItalicMT" w:cs="TimesNewRomanPS-ItalicMT"/>
          <w:i/>
          <w:iCs/>
          <w:color w:val="000000"/>
          <w:sz w:val="16"/>
          <w:szCs w:val="16"/>
        </w:rPr>
        <w:t>derivanti dalla inseminazione intrauterina</w:t>
      </w:r>
    </w:p>
    <w:p w:rsidR="00207C0D"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 xml:space="preserve">4. L’inseminazione intrauterina con 2 o più follicoli espone al </w:t>
      </w:r>
      <w:r>
        <w:rPr>
          <w:rFonts w:ascii="TimesNewRomanPS-BoldItalicMT" w:hAnsi="TimesNewRomanPS-BoldItalicMT" w:cs="TimesNewRomanPS-BoldItalicMT"/>
          <w:b/>
          <w:bCs/>
          <w:i/>
          <w:iCs/>
          <w:color w:val="000000"/>
          <w:sz w:val="16"/>
          <w:szCs w:val="16"/>
        </w:rPr>
        <w:t xml:space="preserve">rischio di gravidanza multipla </w:t>
      </w:r>
      <w:r>
        <w:rPr>
          <w:rFonts w:ascii="TimesNewRomanPS-ItalicMT" w:hAnsi="TimesNewRomanPS-ItalicMT" w:cs="TimesNewRomanPS-ItalicMT"/>
          <w:i/>
          <w:iCs/>
          <w:color w:val="000000"/>
          <w:sz w:val="16"/>
          <w:szCs w:val="16"/>
        </w:rPr>
        <w:t xml:space="preserve">(gemellare o trigemina) , con un aumentato rischio di patologie durante la gravidanza ( diabete, ipertensione, gestosi, rottura prematura di membrane) e la necessità di ricorrere quasi sempre ad un taglio cesareo. Ai fini della presente legge sulla procreazione medicalmente assistita è </w:t>
      </w:r>
      <w:r>
        <w:rPr>
          <w:rFonts w:ascii="TimesNewRomanPS-BoldItalicMT" w:hAnsi="TimesNewRomanPS-BoldItalicMT" w:cs="TimesNewRomanPS-BoldItalicMT"/>
          <w:b/>
          <w:bCs/>
          <w:i/>
          <w:iCs/>
          <w:color w:val="000000"/>
          <w:sz w:val="16"/>
          <w:szCs w:val="16"/>
        </w:rPr>
        <w:t xml:space="preserve">vietata la riduzione embrionaria </w:t>
      </w:r>
      <w:r>
        <w:rPr>
          <w:rFonts w:ascii="TimesNewRomanPS-ItalicMT" w:hAnsi="TimesNewRomanPS-ItalicMT" w:cs="TimesNewRomanPS-ItalicMT"/>
          <w:i/>
          <w:iCs/>
          <w:color w:val="000000"/>
          <w:sz w:val="16"/>
          <w:szCs w:val="16"/>
        </w:rPr>
        <w:t>di gravidanze plurime, salvo nei casi previsti dalla legge 22 maggio 1978, n.194. 5.</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sidRPr="00AF3AD6">
        <w:rPr>
          <w:rFonts w:ascii="TimesNewRomanPSMT" w:hAnsi="TimesNewRomanPSMT" w:cs="TimesNewRomanPSMT"/>
          <w:color w:val="000000"/>
          <w:sz w:val="16"/>
          <w:szCs w:val="16"/>
        </w:rPr>
        <w:t>5</w:t>
      </w:r>
      <w:r>
        <w:rPr>
          <w:rFonts w:ascii="TimesNewRomanPSMT" w:hAnsi="TimesNewRomanPSMT" w:cs="TimesNewRomanPSMT"/>
          <w:color w:val="000000"/>
        </w:rPr>
        <w:t xml:space="preserve">. </w:t>
      </w:r>
      <w:r>
        <w:rPr>
          <w:rFonts w:ascii="TimesNewRomanPS-ItalicMT" w:hAnsi="TimesNewRomanPS-ItalicMT" w:cs="TimesNewRomanPS-ItalicMT"/>
          <w:i/>
          <w:iCs/>
          <w:color w:val="000000"/>
          <w:sz w:val="16"/>
          <w:szCs w:val="16"/>
        </w:rPr>
        <w:t xml:space="preserve">L’incidenza di </w:t>
      </w:r>
      <w:r>
        <w:rPr>
          <w:rFonts w:ascii="TimesNewRomanPS-BoldItalicMT" w:hAnsi="TimesNewRomanPS-BoldItalicMT" w:cs="TimesNewRomanPS-BoldItalicMT"/>
          <w:b/>
          <w:bCs/>
          <w:i/>
          <w:iCs/>
          <w:color w:val="000000"/>
          <w:sz w:val="16"/>
          <w:szCs w:val="16"/>
        </w:rPr>
        <w:t xml:space="preserve">aborto spontaneo </w:t>
      </w:r>
      <w:r>
        <w:rPr>
          <w:rFonts w:ascii="TimesNewRomanPS-ItalicMT" w:hAnsi="TimesNewRomanPS-ItalicMT" w:cs="TimesNewRomanPS-ItalicMT"/>
          <w:i/>
          <w:iCs/>
          <w:color w:val="000000"/>
          <w:sz w:val="16"/>
          <w:szCs w:val="16"/>
        </w:rPr>
        <w:t>è sovrapponibile a quella esistente in caso di concepimento naturale.</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11. Possibili </w:t>
      </w:r>
      <w:r>
        <w:rPr>
          <w:rFonts w:ascii="TimesNewRomanPS-BoldMT" w:hAnsi="TimesNewRomanPS-BoldMT" w:cs="TimesNewRomanPS-BoldMT"/>
          <w:b/>
          <w:bCs/>
          <w:color w:val="000000"/>
        </w:rPr>
        <w:t>rischi per il/i nascituro</w:t>
      </w:r>
      <w:r>
        <w:rPr>
          <w:rFonts w:ascii="TimesNewRomanPSMT" w:hAnsi="TimesNewRomanPSMT" w:cs="TimesNewRomanPSMT"/>
          <w:color w:val="000000"/>
        </w:rPr>
        <w:t>/i derivanti dalla tecnica: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1. La valutazione del rischio di anomalie, malformazioni, patologie neonatali è molto difficile e presenta diversi problemi che sono: l'età</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materna superiore rispetto alla media della popolazione, la possibile presenza di fattori genitoriali collegati alla sterilità, la valutazione di tali</w:t>
      </w:r>
      <w:r w:rsidR="00207C0D">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patologie che non è univoca e che è sicuramente più accurata e protratta nel tempo nei bambini nati da inseminazione intrauterina. Qualora si</w:t>
      </w:r>
      <w:r w:rsidR="00207C0D">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instauri una gravidanza gemellare (o trigemina) esiste un aumentato rischio che ciascuno dei gemelli abbia deficit fisici e/o mentali alla nascita.</w:t>
      </w:r>
      <w:r w:rsidR="00207C0D">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Siamo a conoscenza che esistono esami diagnostici ( prelievo di villi coriali e amniocentesi) in grado di mettere in evidenza la maggior parte di</w:t>
      </w:r>
      <w:r w:rsidR="00207C0D">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anomalie cromosomiche durante la gravidanza.</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2. se un partner è portatore di un infezione virale vi è la possibilità che venga trasmesso al prodotto di concepimento .</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BoldMT" w:hAnsi="TimesNewRomanPS-BoldMT" w:cs="TimesNewRomanPS-BoldMT"/>
          <w:b/>
          <w:bCs/>
          <w:color w:val="000000"/>
        </w:rPr>
        <w:t xml:space="preserve">12. Grado di invasività della tecnica </w:t>
      </w:r>
      <w:r>
        <w:rPr>
          <w:rFonts w:ascii="TimesNewRomanPSMT" w:hAnsi="TimesNewRomanPSMT" w:cs="TimesNewRomanPSMT"/>
          <w:color w:val="000000"/>
        </w:rPr>
        <w:t>per le varie fasi, nei confronti della donna e dell’uomo:</w:t>
      </w:r>
    </w:p>
    <w:p w:rsidR="00AF3AD6" w:rsidRDefault="00AF3AD6" w:rsidP="001F6C68">
      <w:pPr>
        <w:autoSpaceDE w:val="0"/>
        <w:autoSpaceDN w:val="0"/>
        <w:adjustRightInd w:val="0"/>
        <w:spacing w:after="0" w:line="240" w:lineRule="auto"/>
        <w:jc w:val="both"/>
        <w:rPr>
          <w:rFonts w:ascii="TimesNewRomanPS-ItalicMT" w:hAnsi="TimesNewRomanPS-ItalicMT" w:cs="TimesNewRomanPS-ItalicMT"/>
          <w:i/>
          <w:iCs/>
          <w:color w:val="000000"/>
          <w:sz w:val="16"/>
          <w:szCs w:val="16"/>
        </w:rPr>
      </w:pPr>
      <w:r>
        <w:rPr>
          <w:rFonts w:ascii="TimesNewRomanPS-ItalicMT" w:hAnsi="TimesNewRomanPS-ItalicMT" w:cs="TimesNewRomanPS-ItalicMT"/>
          <w:i/>
          <w:iCs/>
          <w:color w:val="000000"/>
          <w:sz w:val="16"/>
          <w:szCs w:val="16"/>
        </w:rPr>
        <w:t>1. L’inseminazione intrauterina, che consiste nell'introduzione del catetere attraverso il canale cervicale, è effettuato ambulatorialmente, non</w:t>
      </w:r>
      <w:r w:rsidR="00207C0D">
        <w:rPr>
          <w:rFonts w:ascii="TimesNewRomanPS-ItalicMT" w:hAnsi="TimesNewRomanPS-ItalicMT" w:cs="TimesNewRomanPS-ItalicMT"/>
          <w:i/>
          <w:iCs/>
          <w:color w:val="000000"/>
          <w:sz w:val="16"/>
          <w:szCs w:val="16"/>
        </w:rPr>
        <w:t xml:space="preserve"> </w:t>
      </w:r>
      <w:r>
        <w:rPr>
          <w:rFonts w:ascii="TimesNewRomanPS-ItalicMT" w:hAnsi="TimesNewRomanPS-ItalicMT" w:cs="TimesNewRomanPS-ItalicMT"/>
          <w:i/>
          <w:iCs/>
          <w:color w:val="000000"/>
          <w:sz w:val="16"/>
          <w:szCs w:val="16"/>
        </w:rPr>
        <w:t>richiede degenza nè anestesia e presenta un grado di invasività molto bassa.</w:t>
      </w:r>
    </w:p>
    <w:p w:rsidR="00DB569D" w:rsidRDefault="00DB569D" w:rsidP="001F6C68">
      <w:pPr>
        <w:autoSpaceDE w:val="0"/>
        <w:autoSpaceDN w:val="0"/>
        <w:adjustRightInd w:val="0"/>
        <w:spacing w:after="0" w:line="240" w:lineRule="auto"/>
        <w:jc w:val="both"/>
        <w:rPr>
          <w:rFonts w:ascii="TimesNewRomanPS-BoldMT" w:hAnsi="TimesNewRomanPS-BoldMT" w:cs="TimesNewRomanPS-BoldMT"/>
          <w:b/>
          <w:bCs/>
          <w:color w:val="000000"/>
        </w:rPr>
      </w:pPr>
    </w:p>
    <w:p w:rsidR="004036BD" w:rsidRDefault="004036BD" w:rsidP="001F6C68">
      <w:pPr>
        <w:autoSpaceDE w:val="0"/>
        <w:autoSpaceDN w:val="0"/>
        <w:adjustRightInd w:val="0"/>
        <w:spacing w:after="0" w:line="240" w:lineRule="auto"/>
        <w:jc w:val="both"/>
        <w:rPr>
          <w:rFonts w:ascii="TimesNewRomanPS-BoldMT" w:hAnsi="TimesNewRomanPS-BoldMT" w:cs="TimesNewRomanPS-BoldMT"/>
          <w:b/>
          <w:bCs/>
          <w:color w:val="000000"/>
        </w:rPr>
      </w:pPr>
    </w:p>
    <w:p w:rsidR="004036BD" w:rsidRDefault="004036BD" w:rsidP="001F6C68">
      <w:pPr>
        <w:autoSpaceDE w:val="0"/>
        <w:autoSpaceDN w:val="0"/>
        <w:adjustRightInd w:val="0"/>
        <w:spacing w:after="0" w:line="240" w:lineRule="auto"/>
        <w:jc w:val="both"/>
        <w:rPr>
          <w:rFonts w:ascii="TimesNewRomanPS-BoldMT" w:hAnsi="TimesNewRomanPS-BoldMT" w:cs="TimesNewRomanPS-BoldMT"/>
          <w:b/>
          <w:bCs/>
          <w:color w:val="000000"/>
        </w:rPr>
      </w:pPr>
    </w:p>
    <w:p w:rsidR="004036BD" w:rsidRDefault="004036BD" w:rsidP="001F6C68">
      <w:pPr>
        <w:autoSpaceDE w:val="0"/>
        <w:autoSpaceDN w:val="0"/>
        <w:adjustRightInd w:val="0"/>
        <w:spacing w:after="0" w:line="240" w:lineRule="auto"/>
        <w:jc w:val="both"/>
        <w:rPr>
          <w:rFonts w:ascii="TimesNewRomanPS-BoldMT" w:hAnsi="TimesNewRomanPS-BoldMT" w:cs="TimesNewRomanPS-BoldMT"/>
          <w:b/>
          <w:bCs/>
          <w:color w:val="000000"/>
        </w:rPr>
      </w:pPr>
    </w:p>
    <w:p w:rsidR="004036BD" w:rsidRDefault="004036BD" w:rsidP="00AF3AD6">
      <w:pPr>
        <w:autoSpaceDE w:val="0"/>
        <w:autoSpaceDN w:val="0"/>
        <w:adjustRightInd w:val="0"/>
        <w:spacing w:after="0" w:line="240" w:lineRule="auto"/>
        <w:rPr>
          <w:rFonts w:ascii="TimesNewRomanPS-BoldMT" w:hAnsi="TimesNewRomanPS-BoldMT" w:cs="TimesNewRomanPS-BoldMT"/>
          <w:b/>
          <w:bCs/>
          <w:color w:val="000000"/>
        </w:rPr>
      </w:pPr>
    </w:p>
    <w:p w:rsidR="004036BD" w:rsidRDefault="004036BD" w:rsidP="00AF3AD6">
      <w:pPr>
        <w:autoSpaceDE w:val="0"/>
        <w:autoSpaceDN w:val="0"/>
        <w:adjustRightInd w:val="0"/>
        <w:spacing w:after="0" w:line="240" w:lineRule="auto"/>
        <w:rPr>
          <w:rFonts w:ascii="TimesNewRomanPS-BoldMT" w:hAnsi="TimesNewRomanPS-BoldMT" w:cs="TimesNewRomanPS-BoldMT"/>
          <w:b/>
          <w:bCs/>
          <w:color w:val="000000"/>
        </w:rPr>
      </w:pPr>
    </w:p>
    <w:p w:rsidR="004036BD" w:rsidRDefault="004036BD" w:rsidP="00AF3AD6">
      <w:pPr>
        <w:autoSpaceDE w:val="0"/>
        <w:autoSpaceDN w:val="0"/>
        <w:adjustRightInd w:val="0"/>
        <w:spacing w:after="0" w:line="240" w:lineRule="auto"/>
        <w:rPr>
          <w:rFonts w:ascii="TimesNewRomanPS-BoldMT" w:hAnsi="TimesNewRomanPS-BoldMT" w:cs="TimesNewRomanPS-BoldMT"/>
          <w:b/>
          <w:bCs/>
          <w:color w:val="000000"/>
        </w:rPr>
      </w:pPr>
    </w:p>
    <w:p w:rsidR="004036BD" w:rsidRDefault="004036BD" w:rsidP="00AF3AD6">
      <w:pPr>
        <w:autoSpaceDE w:val="0"/>
        <w:autoSpaceDN w:val="0"/>
        <w:adjustRightInd w:val="0"/>
        <w:spacing w:after="0" w:line="240" w:lineRule="auto"/>
        <w:rPr>
          <w:rFonts w:ascii="TimesNewRomanPS-BoldMT" w:hAnsi="TimesNewRomanPS-BoldMT" w:cs="TimesNewRomanPS-BoldMT"/>
          <w:b/>
          <w:bCs/>
          <w:color w:val="000000"/>
        </w:rPr>
      </w:pPr>
    </w:p>
    <w:p w:rsidR="004036BD" w:rsidRDefault="004036BD" w:rsidP="00AF3AD6">
      <w:pPr>
        <w:autoSpaceDE w:val="0"/>
        <w:autoSpaceDN w:val="0"/>
        <w:adjustRightInd w:val="0"/>
        <w:spacing w:after="0" w:line="240" w:lineRule="auto"/>
        <w:rPr>
          <w:rFonts w:ascii="TimesNewRomanPS-BoldMT" w:hAnsi="TimesNewRomanPS-BoldMT" w:cs="TimesNewRomanPS-BoldMT"/>
          <w:b/>
          <w:bCs/>
          <w:color w:val="000000"/>
        </w:rPr>
      </w:pPr>
    </w:p>
    <w:p w:rsidR="004036BD" w:rsidRDefault="004036BD" w:rsidP="00AF3AD6">
      <w:pPr>
        <w:autoSpaceDE w:val="0"/>
        <w:autoSpaceDN w:val="0"/>
        <w:adjustRightInd w:val="0"/>
        <w:spacing w:after="0" w:line="240" w:lineRule="auto"/>
        <w:rPr>
          <w:rFonts w:ascii="TimesNewRomanPS-BoldMT" w:hAnsi="TimesNewRomanPS-BoldMT" w:cs="TimesNewRomanPS-BoldMT"/>
          <w:b/>
          <w:bCs/>
          <w:color w:val="000000"/>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000000"/>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000000"/>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000000"/>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000000"/>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000000"/>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000000"/>
        </w:rPr>
      </w:pPr>
    </w:p>
    <w:p w:rsidR="00130381" w:rsidRDefault="00130381" w:rsidP="00AF3AD6">
      <w:pPr>
        <w:autoSpaceDE w:val="0"/>
        <w:autoSpaceDN w:val="0"/>
        <w:adjustRightInd w:val="0"/>
        <w:spacing w:after="0" w:line="240" w:lineRule="auto"/>
        <w:rPr>
          <w:rFonts w:ascii="TimesNewRomanPS-BoldMT" w:hAnsi="TimesNewRomanPS-BoldMT" w:cs="TimesNewRomanPS-BoldMT"/>
          <w:b/>
          <w:bCs/>
          <w:color w:val="000000"/>
        </w:rPr>
      </w:pPr>
    </w:p>
    <w:p w:rsidR="0046038D" w:rsidRDefault="0046038D" w:rsidP="00AF3AD6">
      <w:pPr>
        <w:autoSpaceDE w:val="0"/>
        <w:autoSpaceDN w:val="0"/>
        <w:adjustRightInd w:val="0"/>
        <w:spacing w:after="0" w:line="240" w:lineRule="auto"/>
        <w:rPr>
          <w:rFonts w:ascii="TimesNewRomanPS-BoldMT" w:hAnsi="TimesNewRomanPS-BoldMT" w:cs="TimesNewRomanPS-BoldMT"/>
          <w:b/>
          <w:bCs/>
          <w:color w:val="000000"/>
        </w:rPr>
      </w:pPr>
    </w:p>
    <w:p w:rsidR="0046038D" w:rsidRDefault="0046038D" w:rsidP="00AF3AD6">
      <w:pPr>
        <w:autoSpaceDE w:val="0"/>
        <w:autoSpaceDN w:val="0"/>
        <w:adjustRightInd w:val="0"/>
        <w:spacing w:after="0" w:line="240" w:lineRule="auto"/>
        <w:rPr>
          <w:rFonts w:ascii="TimesNewRomanPS-BoldMT" w:hAnsi="TimesNewRomanPS-BoldMT" w:cs="TimesNewRomanPS-BoldMT"/>
          <w:b/>
          <w:bCs/>
          <w:color w:val="000000"/>
        </w:rPr>
      </w:pPr>
    </w:p>
    <w:p w:rsidR="00BE1B2E" w:rsidRDefault="00BE1B2E" w:rsidP="00AF3AD6">
      <w:pPr>
        <w:autoSpaceDE w:val="0"/>
        <w:autoSpaceDN w:val="0"/>
        <w:adjustRightInd w:val="0"/>
        <w:spacing w:after="0" w:line="240" w:lineRule="auto"/>
        <w:rPr>
          <w:rFonts w:ascii="TimesNewRomanPS-BoldMT" w:hAnsi="TimesNewRomanPS-BoldMT" w:cs="TimesNewRomanPS-BoldMT"/>
          <w:b/>
          <w:bCs/>
          <w:color w:val="000000"/>
        </w:rPr>
      </w:pPr>
    </w:p>
    <w:p w:rsidR="00E36E36" w:rsidRDefault="00E36E36" w:rsidP="00AF3AD6">
      <w:pPr>
        <w:autoSpaceDE w:val="0"/>
        <w:autoSpaceDN w:val="0"/>
        <w:adjustRightInd w:val="0"/>
        <w:spacing w:after="0" w:line="240" w:lineRule="auto"/>
        <w:rPr>
          <w:rFonts w:ascii="TimesNewRomanPS-BoldMT" w:hAnsi="TimesNewRomanPS-BoldMT" w:cs="TimesNewRomanPS-BoldMT"/>
          <w:b/>
          <w:bCs/>
          <w:color w:val="000000"/>
        </w:rPr>
      </w:pPr>
    </w:p>
    <w:p w:rsidR="00E36E36" w:rsidRDefault="00E36E36" w:rsidP="00AF3AD6">
      <w:pPr>
        <w:autoSpaceDE w:val="0"/>
        <w:autoSpaceDN w:val="0"/>
        <w:adjustRightInd w:val="0"/>
        <w:spacing w:after="0" w:line="240" w:lineRule="auto"/>
        <w:rPr>
          <w:rFonts w:ascii="TimesNewRomanPS-BoldMT" w:hAnsi="TimesNewRomanPS-BoldMT" w:cs="TimesNewRomanPS-BoldMT"/>
          <w:b/>
          <w:bCs/>
          <w:color w:val="000000"/>
        </w:rPr>
      </w:pPr>
    </w:p>
    <w:p w:rsidR="00E36E36" w:rsidRDefault="00E36E36" w:rsidP="00AF3AD6">
      <w:pPr>
        <w:autoSpaceDE w:val="0"/>
        <w:autoSpaceDN w:val="0"/>
        <w:adjustRightInd w:val="0"/>
        <w:spacing w:after="0" w:line="240" w:lineRule="auto"/>
        <w:rPr>
          <w:rFonts w:ascii="TimesNewRomanPS-BoldMT" w:hAnsi="TimesNewRomanPS-BoldMT" w:cs="TimesNewRomanPS-BoldMT"/>
          <w:b/>
          <w:bCs/>
          <w:color w:val="000000"/>
        </w:rPr>
      </w:pPr>
    </w:p>
    <w:p w:rsidR="00E36E36" w:rsidRDefault="00E36E36" w:rsidP="00AF3AD6">
      <w:pPr>
        <w:autoSpaceDE w:val="0"/>
        <w:autoSpaceDN w:val="0"/>
        <w:adjustRightInd w:val="0"/>
        <w:spacing w:after="0" w:line="240" w:lineRule="auto"/>
        <w:rPr>
          <w:rFonts w:ascii="TimesNewRomanPS-BoldMT" w:hAnsi="TimesNewRomanPS-BoldMT" w:cs="TimesNewRomanPS-BoldMT"/>
          <w:b/>
          <w:bCs/>
          <w:color w:val="000000"/>
        </w:rPr>
      </w:pPr>
    </w:p>
    <w:p w:rsidR="00DB569D" w:rsidRDefault="00DB569D" w:rsidP="00AF3AD6">
      <w:pPr>
        <w:autoSpaceDE w:val="0"/>
        <w:autoSpaceDN w:val="0"/>
        <w:adjustRightInd w:val="0"/>
        <w:spacing w:after="0" w:line="240" w:lineRule="auto"/>
        <w:rPr>
          <w:rFonts w:ascii="TimesNewRomanPS-BoldMT" w:hAnsi="TimesNewRomanPS-BoldMT" w:cs="TimesNewRomanPS-BoldMT"/>
          <w:b/>
          <w:bCs/>
          <w:color w:val="000000"/>
        </w:rPr>
      </w:pP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BoldMT" w:hAnsi="TimesNewRomanPS-BoldMT" w:cs="TimesNewRomanPS-BoldMT"/>
          <w:b/>
          <w:bCs/>
          <w:color w:val="000000"/>
        </w:rPr>
        <w:lastRenderedPageBreak/>
        <w:t>1</w:t>
      </w:r>
      <w:r w:rsidR="001D68AD">
        <w:rPr>
          <w:rFonts w:ascii="TimesNewRomanPS-BoldMT" w:hAnsi="TimesNewRomanPS-BoldMT" w:cs="TimesNewRomanPS-BoldMT"/>
          <w:b/>
          <w:bCs/>
          <w:color w:val="000000"/>
        </w:rPr>
        <w:t>3</w:t>
      </w:r>
      <w:r>
        <w:rPr>
          <w:rFonts w:ascii="TimesNewRomanPS-BoldMT" w:hAnsi="TimesNewRomanPS-BoldMT" w:cs="TimesNewRomanPS-BoldMT"/>
          <w:b/>
          <w:bCs/>
          <w:color w:val="000000"/>
        </w:rPr>
        <w:t>. Possibilità di crioconservazione dei gameti maschili</w:t>
      </w:r>
      <w:r>
        <w:rPr>
          <w:rFonts w:ascii="TimesNewRomanPSMT" w:hAnsi="TimesNewRomanPSMT" w:cs="TimesNewRomanPSMT"/>
          <w:color w:val="000000"/>
        </w:rPr>
        <w:t>:</w:t>
      </w:r>
    </w:p>
    <w:p w:rsidR="00AF3AD6" w:rsidRDefault="00AF3AD6" w:rsidP="001F6C68">
      <w:pPr>
        <w:autoSpaceDE w:val="0"/>
        <w:autoSpaceDN w:val="0"/>
        <w:adjustRightInd w:val="0"/>
        <w:spacing w:after="0" w:line="240" w:lineRule="auto"/>
        <w:jc w:val="both"/>
        <w:rPr>
          <w:rFonts w:ascii="Wingdings2" w:eastAsia="Wingdings2" w:hAnsi="TimesNewRomanPSMT" w:cs="Wingdings2"/>
          <w:color w:val="000000"/>
        </w:rPr>
      </w:pPr>
      <w:r>
        <w:rPr>
          <w:rFonts w:ascii="TimesNewRomanPSMT" w:hAnsi="TimesNewRomanPSMT" w:cs="TimesNewRomanPSMT"/>
          <w:color w:val="000000"/>
        </w:rPr>
        <w:t xml:space="preserve">a) consento alla crioconservazione a mie spese dei gameti maschili: </w:t>
      </w:r>
      <w:r w:rsidR="00207C0D">
        <w:rPr>
          <w:rFonts w:ascii="TimesNewRomanPSMT" w:hAnsi="TimesNewRomanPSMT" w:cs="TimesNewRomanPSMT"/>
          <w:color w:val="000000"/>
        </w:rPr>
        <w:t xml:space="preserve">                 </w:t>
      </w:r>
      <w:r>
        <w:rPr>
          <w:rFonts w:ascii="TimesNewRomanPSMT" w:hAnsi="TimesNewRomanPSMT" w:cs="TimesNewRomanPSMT"/>
          <w:color w:val="000000"/>
        </w:rPr>
        <w:t xml:space="preserve">SI </w:t>
      </w:r>
      <w:r>
        <w:rPr>
          <w:rFonts w:ascii="Wingdings2" w:eastAsia="Wingdings2" w:hAnsi="TimesNewRomanPSMT" w:cs="Wingdings2" w:hint="eastAsia"/>
          <w:color w:val="000000"/>
        </w:rPr>
        <w:t></w:t>
      </w:r>
    </w:p>
    <w:p w:rsidR="00AF3AD6" w:rsidRDefault="00207C0D" w:rsidP="001F6C68">
      <w:pPr>
        <w:autoSpaceDE w:val="0"/>
        <w:autoSpaceDN w:val="0"/>
        <w:adjustRightInd w:val="0"/>
        <w:spacing w:after="0" w:line="240" w:lineRule="auto"/>
        <w:jc w:val="both"/>
        <w:rPr>
          <w:rFonts w:ascii="Wingdings2" w:eastAsia="Wingdings2" w:hAnsi="TimesNewRomanPSMT" w:cs="Wingdings2"/>
          <w:color w:val="000000"/>
        </w:rPr>
      </w:pPr>
      <w:r>
        <w:rPr>
          <w:rFonts w:ascii="TimesNewRomanPSMT" w:hAnsi="TimesNewRomanPSMT" w:cs="TimesNewRomanPSMT"/>
          <w:color w:val="000000"/>
        </w:rPr>
        <w:t xml:space="preserve">                                                                                                                            </w:t>
      </w:r>
      <w:r w:rsidR="00DD711C">
        <w:rPr>
          <w:rFonts w:ascii="TimesNewRomanPSMT" w:hAnsi="TimesNewRomanPSMT" w:cs="TimesNewRomanPSMT"/>
          <w:color w:val="000000"/>
        </w:rPr>
        <w:t xml:space="preserve"> </w:t>
      </w:r>
      <w:r w:rsidR="00AF3AD6">
        <w:rPr>
          <w:rFonts w:ascii="TimesNewRomanPSMT" w:hAnsi="TimesNewRomanPSMT" w:cs="TimesNewRomanPSMT"/>
          <w:color w:val="000000"/>
        </w:rPr>
        <w:t xml:space="preserve">NO </w:t>
      </w:r>
      <w:r w:rsidR="00AF3AD6">
        <w:rPr>
          <w:rFonts w:ascii="Wingdings2" w:eastAsia="Wingdings2" w:hAnsi="TimesNewRomanPSMT" w:cs="Wingdings2" w:hint="eastAsia"/>
          <w:color w:val="000000"/>
        </w:rPr>
        <w:t></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Firma …………………………………</w:t>
      </w:r>
      <w:r w:rsidR="00510AE4">
        <w:rPr>
          <w:rFonts w:ascii="TimesNewRomanPSMT" w:hAnsi="TimesNewRomanPSMT" w:cs="TimesNewRomanPSMT"/>
          <w:color w:val="000000"/>
        </w:rPr>
        <w:t>…………………………..</w:t>
      </w:r>
    </w:p>
    <w:p w:rsidR="00510AE4" w:rsidRDefault="00510AE4" w:rsidP="001F6C68">
      <w:pPr>
        <w:autoSpaceDE w:val="0"/>
        <w:autoSpaceDN w:val="0"/>
        <w:adjustRightInd w:val="0"/>
        <w:spacing w:after="0" w:line="240" w:lineRule="auto"/>
        <w:jc w:val="both"/>
        <w:rPr>
          <w:rFonts w:ascii="TimesNewRomanPSMT" w:hAnsi="TimesNewRomanPSMT" w:cs="TimesNewRomanPSMT"/>
          <w:color w:val="000000"/>
        </w:rPr>
      </w:pPr>
    </w:p>
    <w:p w:rsidR="00BE1B2E"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Confermo di esonerare il centro nonché i medici e il personale tecnico in genere che per vostro conto</w:t>
      </w:r>
      <w:r w:rsidR="00207C0D">
        <w:rPr>
          <w:rFonts w:ascii="TimesNewRomanPSMT" w:hAnsi="TimesNewRomanPSMT" w:cs="TimesNewRomanPSMT"/>
          <w:color w:val="000000"/>
        </w:rPr>
        <w:t xml:space="preserve"> </w:t>
      </w:r>
      <w:r>
        <w:rPr>
          <w:rFonts w:ascii="TimesNewRomanPSMT" w:hAnsi="TimesNewRomanPSMT" w:cs="TimesNewRomanPSMT"/>
          <w:color w:val="000000"/>
        </w:rPr>
        <w:t>avranno ad operare da qualsiasi responsabilità, salvo l’esecuzione secondo idonea e professionale diligenza</w:t>
      </w:r>
      <w:r w:rsidR="00207C0D">
        <w:rPr>
          <w:rFonts w:ascii="TimesNewRomanPSMT" w:hAnsi="TimesNewRomanPSMT" w:cs="TimesNewRomanPSMT"/>
          <w:color w:val="000000"/>
        </w:rPr>
        <w:t xml:space="preserve"> </w:t>
      </w:r>
      <w:r>
        <w:rPr>
          <w:rFonts w:ascii="TimesNewRomanPSMT" w:hAnsi="TimesNewRomanPSMT" w:cs="TimesNewRomanPSMT"/>
          <w:color w:val="000000"/>
        </w:rPr>
        <w:t>delle prestazioni afferenti il prelievo e la custodia degli spermatozoi.</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 In caso di mia morte o nel caso in cui risultassi irrintracciabile (a questo proposito</w:t>
      </w:r>
      <w:r w:rsidR="00207C0D">
        <w:rPr>
          <w:rFonts w:ascii="TimesNewRomanPSMT" w:hAnsi="TimesNewRomanPSMT" w:cs="TimesNewRomanPSMT"/>
          <w:color w:val="000000"/>
        </w:rPr>
        <w:t xml:space="preserve"> </w:t>
      </w:r>
      <w:r>
        <w:rPr>
          <w:rFonts w:ascii="TimesNewRomanPSMT" w:hAnsi="TimesNewRomanPSMT" w:cs="TimesNewRomanPSMT"/>
          <w:color w:val="000000"/>
        </w:rPr>
        <w:t>mi impegno a comunicarvi eventuali mie variazioni di recapito), è mia volontà che il vostro centro dia corso</w:t>
      </w:r>
      <w:r w:rsidR="00207C0D">
        <w:rPr>
          <w:rFonts w:ascii="TimesNewRomanPSMT" w:hAnsi="TimesNewRomanPSMT" w:cs="TimesNewRomanPSMT"/>
          <w:color w:val="000000"/>
        </w:rPr>
        <w:t xml:space="preserve"> </w:t>
      </w:r>
      <w:r>
        <w:rPr>
          <w:rFonts w:ascii="TimesNewRomanPSMT" w:hAnsi="TimesNewRomanPSMT" w:cs="TimesNewRomanPSMT"/>
          <w:color w:val="000000"/>
        </w:rPr>
        <w:t>alla distruzione del materiale biologico.</w:t>
      </w:r>
    </w:p>
    <w:p w:rsidR="00BE0555" w:rsidRDefault="00BE0555" w:rsidP="001F6C68">
      <w:pPr>
        <w:autoSpaceDE w:val="0"/>
        <w:autoSpaceDN w:val="0"/>
        <w:adjustRightInd w:val="0"/>
        <w:spacing w:after="0" w:line="240" w:lineRule="auto"/>
        <w:jc w:val="both"/>
        <w:rPr>
          <w:rFonts w:ascii="TimesNewRomanPS-BoldMT" w:hAnsi="TimesNewRomanPS-BoldMT" w:cs="TimesNewRomanPS-BoldMT"/>
          <w:b/>
          <w:bCs/>
          <w:color w:val="000000"/>
        </w:rPr>
      </w:pPr>
    </w:p>
    <w:p w:rsidR="00AF3AD6" w:rsidRDefault="00BE1B2E" w:rsidP="001F6C68">
      <w:pPr>
        <w:autoSpaceDE w:val="0"/>
        <w:autoSpaceDN w:val="0"/>
        <w:adjustRightInd w:val="0"/>
        <w:spacing w:after="0" w:line="240" w:lineRule="auto"/>
        <w:jc w:val="both"/>
        <w:rPr>
          <w:rFonts w:ascii="TimesNewRomanPS-BoldMT" w:hAnsi="TimesNewRomanPS-BoldMT" w:cs="TimesNewRomanPS-BoldMT"/>
          <w:b/>
          <w:bCs/>
          <w:color w:val="000000"/>
        </w:rPr>
      </w:pPr>
      <w:r>
        <w:rPr>
          <w:rFonts w:ascii="TimesNewRomanPS-BoldMT" w:hAnsi="TimesNewRomanPS-BoldMT" w:cs="TimesNewRomanPS-BoldMT"/>
          <w:b/>
          <w:bCs/>
          <w:color w:val="000000"/>
        </w:rPr>
        <w:t>1</w:t>
      </w:r>
      <w:r w:rsidR="001D68AD">
        <w:rPr>
          <w:rFonts w:ascii="TimesNewRomanPS-BoldMT" w:hAnsi="TimesNewRomanPS-BoldMT" w:cs="TimesNewRomanPS-BoldMT"/>
          <w:b/>
          <w:bCs/>
          <w:color w:val="000000"/>
        </w:rPr>
        <w:t>4</w:t>
      </w:r>
      <w:r>
        <w:rPr>
          <w:rFonts w:ascii="TimesNewRomanPS-BoldMT" w:hAnsi="TimesNewRomanPS-BoldMT" w:cs="TimesNewRomanPS-BoldMT"/>
          <w:b/>
          <w:bCs/>
          <w:color w:val="000000"/>
        </w:rPr>
        <w:t>. Illustrazione dei costi economici della tecnica.</w:t>
      </w:r>
    </w:p>
    <w:p w:rsidR="0040190C" w:rsidRDefault="0040190C" w:rsidP="001F6C68">
      <w:pPr>
        <w:autoSpaceDE w:val="0"/>
        <w:autoSpaceDN w:val="0"/>
        <w:adjustRightInd w:val="0"/>
        <w:spacing w:after="0" w:line="240" w:lineRule="auto"/>
        <w:jc w:val="both"/>
        <w:rPr>
          <w:rFonts w:ascii="TimesNewRomanPSMT" w:hAnsi="TimesNewRomanPSMT" w:cs="TimesNewRomanPSMT"/>
          <w:color w:val="000000"/>
        </w:rPr>
      </w:pPr>
    </w:p>
    <w:p w:rsidR="0040190C" w:rsidRPr="0040190C" w:rsidRDefault="0040190C" w:rsidP="00510AE4">
      <w:pPr>
        <w:autoSpaceDE w:val="0"/>
        <w:autoSpaceDN w:val="0"/>
        <w:adjustRightInd w:val="0"/>
        <w:spacing w:after="0" w:line="360" w:lineRule="auto"/>
        <w:jc w:val="both"/>
        <w:rPr>
          <w:rFonts w:ascii="Times New Roman" w:hAnsi="Times New Roman" w:cs="Times New Roman"/>
        </w:rPr>
      </w:pPr>
      <w:r w:rsidRPr="0040190C">
        <w:rPr>
          <w:rFonts w:ascii="TimesNewRomanPSMT" w:hAnsi="TimesNewRomanPSMT" w:cs="TimesNewRomanPSMT"/>
          <w:b/>
          <w:color w:val="000000"/>
        </w:rPr>
        <w:t>1</w:t>
      </w:r>
      <w:r w:rsidR="001D68AD">
        <w:rPr>
          <w:rFonts w:ascii="TimesNewRomanPSMT" w:hAnsi="TimesNewRomanPSMT" w:cs="TimesNewRomanPSMT"/>
          <w:b/>
          <w:color w:val="000000"/>
        </w:rPr>
        <w:t>5</w:t>
      </w:r>
      <w:r w:rsidRPr="0040190C">
        <w:rPr>
          <w:rFonts w:ascii="TimesNewRomanPSMT" w:hAnsi="TimesNewRomanPSMT" w:cs="TimesNewRomanPSMT"/>
          <w:b/>
          <w:color w:val="000000"/>
        </w:rPr>
        <w:t>.</w:t>
      </w:r>
      <w:r>
        <w:rPr>
          <w:rFonts w:ascii="TimesNewRomanPSMT" w:hAnsi="TimesNewRomanPSMT" w:cs="TimesNewRomanPSMT"/>
          <w:b/>
          <w:color w:val="000000"/>
        </w:rPr>
        <w:t xml:space="preserve"> </w:t>
      </w:r>
      <w:r w:rsidRPr="0040190C">
        <w:rPr>
          <w:rFonts w:ascii="Times New Roman" w:hAnsi="Times New Roman" w:cs="Times New Roman"/>
        </w:rPr>
        <w:t>Di tutto quanto sopra è stato scritto, è stata data corretta spiegazione con parole a noi comprensibili.</w:t>
      </w:r>
    </w:p>
    <w:p w:rsidR="0040190C" w:rsidRDefault="0040190C" w:rsidP="00510AE4">
      <w:pPr>
        <w:spacing w:line="360" w:lineRule="auto"/>
        <w:jc w:val="both"/>
        <w:rPr>
          <w:rFonts w:ascii="Times New Roman" w:hAnsi="Times New Roman" w:cs="Times New Roman"/>
        </w:rPr>
      </w:pPr>
      <w:r w:rsidRPr="0040190C">
        <w:rPr>
          <w:rFonts w:ascii="Times New Roman" w:hAnsi="Times New Roman" w:cs="Times New Roman"/>
        </w:rPr>
        <w:t>Inoltre il personale si è dichiarato ampiamente disponibile a chiarire in ogni momento eventuali dubbi che potessero sorgere relativamente all'attività terapeutica illustrataci.</w:t>
      </w:r>
      <w:r>
        <w:rPr>
          <w:rFonts w:ascii="Times New Roman" w:hAnsi="Times New Roman" w:cs="Times New Roman"/>
        </w:rPr>
        <w:t xml:space="preserve"> </w:t>
      </w:r>
      <w:r w:rsidRPr="0040190C">
        <w:rPr>
          <w:rFonts w:ascii="Times New Roman" w:hAnsi="Times New Roman" w:cs="Times New Roman"/>
        </w:rPr>
        <w:t xml:space="preserve">Tutto ciò considerato, avendo preso piena coscienza e consapevolezza della natura e delle modalità della terapia ed in particolare delle percentuali di insuccesso e delle possibili controindicazioni, autorizziamo espressamente il personale medico del Centro </w:t>
      </w:r>
      <w:r>
        <w:rPr>
          <w:rFonts w:ascii="Times New Roman" w:hAnsi="Times New Roman" w:cs="Times New Roman"/>
        </w:rPr>
        <w:t xml:space="preserve">CARAN </w:t>
      </w:r>
      <w:r w:rsidRPr="0040190C">
        <w:rPr>
          <w:rFonts w:ascii="Times New Roman" w:hAnsi="Times New Roman" w:cs="Times New Roman"/>
        </w:rPr>
        <w:t xml:space="preserve">a procedere alla </w:t>
      </w:r>
      <w:r w:rsidRPr="0040190C">
        <w:rPr>
          <w:rFonts w:ascii="Times New Roman" w:hAnsi="Times New Roman" w:cs="Times New Roman"/>
          <w:b/>
        </w:rPr>
        <w:t>inseminazione intrauterina con seme omologo preparato</w:t>
      </w:r>
      <w:r w:rsidRPr="0040190C">
        <w:rPr>
          <w:rFonts w:ascii="Times New Roman" w:hAnsi="Times New Roman" w:cs="Times New Roman"/>
        </w:rPr>
        <w:t xml:space="preserve"> secondo la metodica concordata.</w:t>
      </w:r>
      <w:r>
        <w:rPr>
          <w:rFonts w:ascii="Times New Roman" w:hAnsi="Times New Roman" w:cs="Times New Roman"/>
        </w:rPr>
        <w:t xml:space="preserve"> </w:t>
      </w:r>
    </w:p>
    <w:p w:rsidR="00BE1B2E" w:rsidRPr="00510AE4" w:rsidRDefault="0040190C" w:rsidP="00510AE4">
      <w:pPr>
        <w:spacing w:line="360" w:lineRule="auto"/>
        <w:jc w:val="both"/>
        <w:rPr>
          <w:rFonts w:ascii="Times New Roman" w:hAnsi="Times New Roman" w:cs="Times New Roman"/>
        </w:rPr>
      </w:pPr>
      <w:r w:rsidRPr="0040190C">
        <w:rPr>
          <w:rFonts w:ascii="Times New Roman" w:hAnsi="Times New Roman" w:cs="Times New Roman"/>
        </w:rPr>
        <w:t>Sottoscrivendo questo consenso i pazienti dichiarano altresì di voler riconoscere come proprio e legittimo il figlio che eventualmente nascerà dopo l'inseminazione.</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Data …………………….</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Sig. (Firma) …………………………………… documento ……………………………………</w:t>
      </w:r>
      <w:r w:rsidR="001F6C68">
        <w:rPr>
          <w:rFonts w:ascii="TimesNewRomanPSMT" w:hAnsi="TimesNewRomanPSMT" w:cs="TimesNewRomanPSMT"/>
          <w:color w:val="000000"/>
        </w:rPr>
        <w:t>…</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Sig.ra (Firma) …………………………………… documento ……………………………………</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Il medico che ha effettuato il colloquio ……………………………………………………</w:t>
      </w:r>
      <w:r w:rsidR="001F6C68">
        <w:rPr>
          <w:rFonts w:ascii="TimesNewRomanPSMT" w:hAnsi="TimesNewRomanPSMT" w:cs="TimesNewRomanPSMT"/>
          <w:color w:val="000000"/>
        </w:rPr>
        <w:t>……….</w:t>
      </w:r>
    </w:p>
    <w:p w:rsidR="00AF3AD6" w:rsidRDefault="00AF3AD6" w:rsidP="001F6C68">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Il medico responsabile della struttura ………………………………………………………</w:t>
      </w:r>
      <w:r w:rsidR="001F6C68">
        <w:rPr>
          <w:rFonts w:ascii="TimesNewRomanPSMT" w:hAnsi="TimesNewRomanPSMT" w:cs="TimesNewRomanPSMT"/>
          <w:color w:val="000000"/>
        </w:rPr>
        <w:t>……..</w:t>
      </w:r>
    </w:p>
    <w:p w:rsidR="00BE0555" w:rsidRDefault="00BE0555" w:rsidP="001F6C68">
      <w:pPr>
        <w:autoSpaceDE w:val="0"/>
        <w:autoSpaceDN w:val="0"/>
        <w:adjustRightInd w:val="0"/>
        <w:spacing w:after="0" w:line="240" w:lineRule="auto"/>
        <w:jc w:val="both"/>
        <w:rPr>
          <w:rFonts w:ascii="TimesNewRomanPSMT" w:hAnsi="TimesNewRomanPSMT" w:cs="TimesNewRomanPSMT"/>
          <w:color w:val="000000"/>
        </w:rPr>
      </w:pPr>
    </w:p>
    <w:p w:rsidR="00BE0555" w:rsidRDefault="00BE0555" w:rsidP="001F6C68">
      <w:pPr>
        <w:autoSpaceDE w:val="0"/>
        <w:autoSpaceDN w:val="0"/>
        <w:adjustRightInd w:val="0"/>
        <w:spacing w:after="0" w:line="240" w:lineRule="auto"/>
        <w:jc w:val="both"/>
        <w:rPr>
          <w:rFonts w:ascii="TimesNewRomanPSMT" w:hAnsi="TimesNewRomanPSMT" w:cs="TimesNewRomanPSMT"/>
          <w:color w:val="000000"/>
        </w:rPr>
      </w:pPr>
    </w:p>
    <w:p w:rsidR="00BE0555" w:rsidRDefault="00BE0555" w:rsidP="00AF3AD6">
      <w:pPr>
        <w:autoSpaceDE w:val="0"/>
        <w:autoSpaceDN w:val="0"/>
        <w:adjustRightInd w:val="0"/>
        <w:spacing w:after="0" w:line="240" w:lineRule="auto"/>
        <w:rPr>
          <w:rFonts w:ascii="TimesNewRomanPSMT" w:hAnsi="TimesNewRomanPSMT" w:cs="TimesNewRomanPSMT"/>
          <w:color w:val="000000"/>
        </w:rPr>
      </w:pPr>
    </w:p>
    <w:p w:rsidR="00BE0555" w:rsidRDefault="00BE0555" w:rsidP="00AF3AD6">
      <w:pPr>
        <w:autoSpaceDE w:val="0"/>
        <w:autoSpaceDN w:val="0"/>
        <w:adjustRightInd w:val="0"/>
        <w:spacing w:after="0" w:line="240" w:lineRule="auto"/>
        <w:rPr>
          <w:rFonts w:ascii="TimesNewRomanPSMT" w:hAnsi="TimesNewRomanPSMT" w:cs="TimesNewRomanPSMT"/>
          <w:color w:val="000000"/>
        </w:rPr>
      </w:pPr>
    </w:p>
    <w:p w:rsidR="00BE0555" w:rsidRDefault="00BE0555" w:rsidP="00AF3AD6">
      <w:pPr>
        <w:autoSpaceDE w:val="0"/>
        <w:autoSpaceDN w:val="0"/>
        <w:adjustRightInd w:val="0"/>
        <w:spacing w:after="0" w:line="240" w:lineRule="auto"/>
        <w:rPr>
          <w:rFonts w:ascii="TimesNewRomanPSMT" w:hAnsi="TimesNewRomanPSMT" w:cs="TimesNewRomanPSMT"/>
          <w:color w:val="000000"/>
        </w:rPr>
      </w:pPr>
    </w:p>
    <w:p w:rsidR="00BE0555" w:rsidRDefault="00BE0555" w:rsidP="00AF3AD6">
      <w:pPr>
        <w:autoSpaceDE w:val="0"/>
        <w:autoSpaceDN w:val="0"/>
        <w:adjustRightInd w:val="0"/>
        <w:spacing w:after="0" w:line="240" w:lineRule="auto"/>
        <w:rPr>
          <w:rFonts w:ascii="TimesNewRomanPSMT" w:hAnsi="TimesNewRomanPSMT" w:cs="TimesNewRomanPSMT"/>
          <w:color w:val="000000"/>
        </w:rPr>
      </w:pPr>
    </w:p>
    <w:p w:rsidR="00BE0555" w:rsidRDefault="00BE0555" w:rsidP="00AF3AD6">
      <w:pPr>
        <w:autoSpaceDE w:val="0"/>
        <w:autoSpaceDN w:val="0"/>
        <w:adjustRightInd w:val="0"/>
        <w:spacing w:after="0" w:line="240" w:lineRule="auto"/>
        <w:rPr>
          <w:rFonts w:ascii="TimesNewRomanPSMT" w:hAnsi="TimesNewRomanPSMT" w:cs="TimesNewRomanPSMT"/>
          <w:color w:val="000000"/>
        </w:rPr>
      </w:pPr>
    </w:p>
    <w:p w:rsidR="00C42B91" w:rsidRDefault="00C42B91" w:rsidP="00AF3AD6"/>
    <w:sectPr w:rsidR="00C42B91" w:rsidSect="00C42B91">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A10" w:rsidRDefault="00282A10" w:rsidP="001F4BB2">
      <w:pPr>
        <w:spacing w:after="0" w:line="240" w:lineRule="auto"/>
      </w:pPr>
      <w:r>
        <w:separator/>
      </w:r>
    </w:p>
  </w:endnote>
  <w:endnote w:type="continuationSeparator" w:id="0">
    <w:p w:rsidR="00282A10" w:rsidRDefault="00282A10" w:rsidP="001F4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00"/>
    <w:family w:val="swiss"/>
    <w:notTrueType/>
    <w:pitch w:val="default"/>
    <w:sig w:usb0="00000000" w:usb1="08070000" w:usb2="00000010" w:usb3="00000000" w:csb0="0002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Wingdings2">
    <w:altName w:val="Wingdings 2"/>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A10" w:rsidRDefault="00282A10" w:rsidP="001F4BB2">
      <w:pPr>
        <w:spacing w:after="0" w:line="240" w:lineRule="auto"/>
      </w:pPr>
      <w:r>
        <w:separator/>
      </w:r>
    </w:p>
  </w:footnote>
  <w:footnote w:type="continuationSeparator" w:id="0">
    <w:p w:rsidR="00282A10" w:rsidRDefault="00282A10" w:rsidP="001F4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4461"/>
      <w:gridCol w:w="2297"/>
    </w:tblGrid>
    <w:tr w:rsidR="001F4BB2" w:rsidTr="00EC33A7">
      <w:trPr>
        <w:trHeight w:val="177"/>
      </w:trPr>
      <w:tc>
        <w:tcPr>
          <w:tcW w:w="2448" w:type="dxa"/>
          <w:vMerge w:val="restart"/>
          <w:shd w:val="clear" w:color="auto" w:fill="auto"/>
          <w:vAlign w:val="center"/>
        </w:tcPr>
        <w:p w:rsidR="001F4BB2" w:rsidRPr="00611F87" w:rsidRDefault="001F4BB2" w:rsidP="00EC33A7">
          <w:pPr>
            <w:jc w:val="center"/>
            <w:rPr>
              <w:rFonts w:cs="Arial"/>
            </w:rPr>
          </w:pPr>
          <w:r>
            <w:rPr>
              <w:rFonts w:cs="Arial"/>
              <w:noProof/>
              <w:lang w:eastAsia="it-IT"/>
            </w:rPr>
            <w:drawing>
              <wp:inline distT="0" distB="0" distL="0" distR="0">
                <wp:extent cx="1828800" cy="60960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609600"/>
                        </a:xfrm>
                        <a:prstGeom prst="rect">
                          <a:avLst/>
                        </a:prstGeom>
                        <a:noFill/>
                        <a:ln>
                          <a:noFill/>
                        </a:ln>
                      </pic:spPr>
                    </pic:pic>
                  </a:graphicData>
                </a:graphic>
              </wp:inline>
            </w:drawing>
          </w:r>
        </w:p>
      </w:tc>
      <w:tc>
        <w:tcPr>
          <w:tcW w:w="4680" w:type="dxa"/>
          <w:vMerge w:val="restart"/>
          <w:shd w:val="clear" w:color="auto" w:fill="auto"/>
          <w:vAlign w:val="center"/>
        </w:tcPr>
        <w:p w:rsidR="001F4BB2" w:rsidRPr="00611F87" w:rsidRDefault="001F4BB2" w:rsidP="00EC33A7">
          <w:pPr>
            <w:spacing w:before="72" w:line="336" w:lineRule="atLeast"/>
            <w:jc w:val="center"/>
            <w:rPr>
              <w:rFonts w:cs="Arial"/>
              <w:b/>
            </w:rPr>
          </w:pPr>
          <w:r>
            <w:rPr>
              <w:rFonts w:cs="Arial"/>
              <w:b/>
            </w:rPr>
            <w:t>MOD-PRS43</w:t>
          </w:r>
        </w:p>
      </w:tc>
      <w:tc>
        <w:tcPr>
          <w:tcW w:w="2380" w:type="dxa"/>
          <w:shd w:val="clear" w:color="auto" w:fill="auto"/>
          <w:vAlign w:val="center"/>
        </w:tcPr>
        <w:p w:rsidR="001F4BB2" w:rsidRPr="00611F87" w:rsidRDefault="001F4BB2" w:rsidP="00EC33A7">
          <w:pPr>
            <w:rPr>
              <w:rFonts w:cs="Arial"/>
              <w:sz w:val="18"/>
              <w:szCs w:val="18"/>
            </w:rPr>
          </w:pPr>
          <w:r w:rsidRPr="00611F87">
            <w:rPr>
              <w:rFonts w:cs="Arial"/>
              <w:sz w:val="18"/>
              <w:szCs w:val="18"/>
            </w:rPr>
            <w:t>Rev. 01</w:t>
          </w:r>
        </w:p>
      </w:tc>
    </w:tr>
    <w:tr w:rsidR="001F4BB2" w:rsidTr="00EC33A7">
      <w:trPr>
        <w:trHeight w:val="103"/>
      </w:trPr>
      <w:tc>
        <w:tcPr>
          <w:tcW w:w="2448" w:type="dxa"/>
          <w:vMerge/>
          <w:shd w:val="clear" w:color="auto" w:fill="auto"/>
          <w:vAlign w:val="center"/>
        </w:tcPr>
        <w:p w:rsidR="001F4BB2" w:rsidRPr="00611F87" w:rsidRDefault="001F4BB2" w:rsidP="00EC33A7">
          <w:pPr>
            <w:jc w:val="center"/>
            <w:rPr>
              <w:rFonts w:cs="Arial"/>
              <w:b/>
              <w:bCs/>
            </w:rPr>
          </w:pPr>
        </w:p>
      </w:tc>
      <w:tc>
        <w:tcPr>
          <w:tcW w:w="4680" w:type="dxa"/>
          <w:vMerge/>
          <w:shd w:val="clear" w:color="auto" w:fill="auto"/>
          <w:vAlign w:val="center"/>
        </w:tcPr>
        <w:p w:rsidR="001F4BB2" w:rsidRPr="00611F87" w:rsidRDefault="001F4BB2" w:rsidP="00EC33A7">
          <w:pPr>
            <w:spacing w:before="72" w:line="336" w:lineRule="atLeast"/>
            <w:jc w:val="center"/>
            <w:rPr>
              <w:rFonts w:cs="Arial"/>
              <w:b/>
            </w:rPr>
          </w:pPr>
        </w:p>
      </w:tc>
      <w:tc>
        <w:tcPr>
          <w:tcW w:w="2380" w:type="dxa"/>
          <w:shd w:val="clear" w:color="auto" w:fill="auto"/>
          <w:vAlign w:val="center"/>
        </w:tcPr>
        <w:p w:rsidR="001F4BB2" w:rsidRPr="00611F87" w:rsidRDefault="001F4BB2" w:rsidP="00EC33A7">
          <w:pPr>
            <w:rPr>
              <w:rFonts w:cs="Arial"/>
              <w:sz w:val="18"/>
              <w:szCs w:val="18"/>
            </w:rPr>
          </w:pPr>
          <w:r>
            <w:rPr>
              <w:rFonts w:cs="Arial"/>
              <w:sz w:val="18"/>
              <w:szCs w:val="18"/>
            </w:rPr>
            <w:t>Data: 10/06/2013</w:t>
          </w:r>
        </w:p>
      </w:tc>
    </w:tr>
    <w:tr w:rsidR="001F4BB2" w:rsidTr="00EC33A7">
      <w:trPr>
        <w:trHeight w:val="269"/>
      </w:trPr>
      <w:tc>
        <w:tcPr>
          <w:tcW w:w="2448" w:type="dxa"/>
          <w:vMerge/>
          <w:shd w:val="clear" w:color="auto" w:fill="auto"/>
        </w:tcPr>
        <w:p w:rsidR="001F4BB2" w:rsidRDefault="001F4BB2" w:rsidP="00EC33A7">
          <w:pPr>
            <w:spacing w:before="72" w:line="336" w:lineRule="atLeast"/>
          </w:pPr>
        </w:p>
      </w:tc>
      <w:tc>
        <w:tcPr>
          <w:tcW w:w="4680" w:type="dxa"/>
          <w:shd w:val="clear" w:color="auto" w:fill="auto"/>
          <w:vAlign w:val="center"/>
        </w:tcPr>
        <w:p w:rsidR="001F4BB2" w:rsidRPr="00611F87" w:rsidRDefault="001F4BB2" w:rsidP="00EC33A7">
          <w:pPr>
            <w:jc w:val="center"/>
            <w:rPr>
              <w:rFonts w:cs="Arial"/>
              <w:spacing w:val="10"/>
              <w:w w:val="103"/>
              <w:sz w:val="40"/>
              <w:szCs w:val="40"/>
            </w:rPr>
          </w:pPr>
          <w:r>
            <w:rPr>
              <w:rFonts w:cs="Arial"/>
              <w:b/>
            </w:rPr>
            <w:t>CONSENSO IUI</w:t>
          </w:r>
        </w:p>
      </w:tc>
      <w:tc>
        <w:tcPr>
          <w:tcW w:w="2380" w:type="dxa"/>
          <w:shd w:val="clear" w:color="auto" w:fill="auto"/>
          <w:vAlign w:val="center"/>
        </w:tcPr>
        <w:p w:rsidR="001F4BB2" w:rsidRPr="00611F87" w:rsidRDefault="001F4BB2" w:rsidP="001F4BB2">
          <w:pPr>
            <w:jc w:val="center"/>
            <w:rPr>
              <w:rFonts w:cs="Arial"/>
              <w:sz w:val="18"/>
              <w:szCs w:val="18"/>
            </w:rPr>
          </w:pPr>
          <w:r w:rsidRPr="00611F87">
            <w:rPr>
              <w:rFonts w:cs="Arial"/>
              <w:spacing w:val="10"/>
              <w:sz w:val="18"/>
              <w:szCs w:val="18"/>
            </w:rPr>
            <w:t xml:space="preserve">Pagina </w:t>
          </w:r>
          <w:r w:rsidR="003214A7" w:rsidRPr="00611F87">
            <w:rPr>
              <w:rStyle w:val="Numeropagina"/>
              <w:rFonts w:cs="Arial"/>
              <w:sz w:val="18"/>
              <w:szCs w:val="18"/>
            </w:rPr>
            <w:fldChar w:fldCharType="begin"/>
          </w:r>
          <w:r w:rsidRPr="00611F87">
            <w:rPr>
              <w:rStyle w:val="Numeropagina"/>
              <w:rFonts w:cs="Arial"/>
              <w:sz w:val="18"/>
              <w:szCs w:val="18"/>
            </w:rPr>
            <w:instrText xml:space="preserve"> PAGE </w:instrText>
          </w:r>
          <w:r w:rsidR="003214A7" w:rsidRPr="00611F87">
            <w:rPr>
              <w:rStyle w:val="Numeropagina"/>
              <w:rFonts w:cs="Arial"/>
              <w:sz w:val="18"/>
              <w:szCs w:val="18"/>
            </w:rPr>
            <w:fldChar w:fldCharType="separate"/>
          </w:r>
          <w:r w:rsidR="00E36E36">
            <w:rPr>
              <w:rStyle w:val="Numeropagina"/>
              <w:rFonts w:cs="Arial"/>
              <w:noProof/>
              <w:sz w:val="18"/>
              <w:szCs w:val="18"/>
            </w:rPr>
            <w:t>3</w:t>
          </w:r>
          <w:r w:rsidR="003214A7" w:rsidRPr="00611F87">
            <w:rPr>
              <w:rStyle w:val="Numeropagina"/>
              <w:rFonts w:cs="Arial"/>
              <w:sz w:val="18"/>
              <w:szCs w:val="18"/>
            </w:rPr>
            <w:fldChar w:fldCharType="end"/>
          </w:r>
          <w:r w:rsidRPr="00611F87">
            <w:rPr>
              <w:rFonts w:cs="Arial"/>
              <w:spacing w:val="10"/>
              <w:sz w:val="18"/>
              <w:szCs w:val="18"/>
            </w:rPr>
            <w:t xml:space="preserve"> di </w:t>
          </w:r>
          <w:fldSimple w:instr=" SECTIONPAGES  \* MERGEFORMAT ">
            <w:r w:rsidR="00E36E36">
              <w:rPr>
                <w:rStyle w:val="Numeropagina"/>
                <w:noProof/>
              </w:rPr>
              <w:t>4</w:t>
            </w:r>
          </w:fldSimple>
        </w:p>
      </w:tc>
    </w:tr>
  </w:tbl>
  <w:p w:rsidR="001F4BB2" w:rsidRDefault="001F4BB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AF3AD6"/>
    <w:rsid w:val="00130381"/>
    <w:rsid w:val="001D68AD"/>
    <w:rsid w:val="001F4BB2"/>
    <w:rsid w:val="001F6C68"/>
    <w:rsid w:val="00207C0D"/>
    <w:rsid w:val="00282A10"/>
    <w:rsid w:val="003214A7"/>
    <w:rsid w:val="0040190C"/>
    <w:rsid w:val="004036BD"/>
    <w:rsid w:val="0046038D"/>
    <w:rsid w:val="004A5AF3"/>
    <w:rsid w:val="00510AE4"/>
    <w:rsid w:val="00601FC7"/>
    <w:rsid w:val="007C55A8"/>
    <w:rsid w:val="00A309E6"/>
    <w:rsid w:val="00AC3584"/>
    <w:rsid w:val="00AD0C75"/>
    <w:rsid w:val="00AF3AD6"/>
    <w:rsid w:val="00BE0555"/>
    <w:rsid w:val="00BE1B2E"/>
    <w:rsid w:val="00C42B91"/>
    <w:rsid w:val="00DB569D"/>
    <w:rsid w:val="00DD711C"/>
    <w:rsid w:val="00E36E36"/>
    <w:rsid w:val="00FC3D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B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4B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4BB2"/>
  </w:style>
  <w:style w:type="paragraph" w:styleId="Pidipagina">
    <w:name w:val="footer"/>
    <w:basedOn w:val="Normale"/>
    <w:link w:val="PidipaginaCarattere"/>
    <w:uiPriority w:val="99"/>
    <w:unhideWhenUsed/>
    <w:rsid w:val="001F4B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4BB2"/>
  </w:style>
  <w:style w:type="character" w:styleId="Numeropagina">
    <w:name w:val="page number"/>
    <w:rsid w:val="001F4BB2"/>
    <w:rPr>
      <w:sz w:val="20"/>
    </w:rPr>
  </w:style>
  <w:style w:type="paragraph" w:styleId="Testofumetto">
    <w:name w:val="Balloon Text"/>
    <w:basedOn w:val="Normale"/>
    <w:link w:val="TestofumettoCarattere"/>
    <w:uiPriority w:val="99"/>
    <w:semiHidden/>
    <w:unhideWhenUsed/>
    <w:rsid w:val="001F4BB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F4B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B9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4BB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1F4BB2"/>
  </w:style>
  <w:style w:type="paragraph" w:styleId="Pidipagina">
    <w:name w:val="footer"/>
    <w:basedOn w:val="Normale"/>
    <w:link w:val="PidipaginaCarattere"/>
    <w:uiPriority w:val="99"/>
    <w:unhideWhenUsed/>
    <w:rsid w:val="001F4BB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1F4BB2"/>
  </w:style>
  <w:style w:type="character" w:styleId="Numeropagina">
    <w:name w:val="page number"/>
    <w:rsid w:val="001F4BB2"/>
    <w:rPr>
      <w:sz w:val="20"/>
    </w:rPr>
  </w:style>
  <w:style w:type="paragraph" w:styleId="Testofumetto">
    <w:name w:val="Balloon Text"/>
    <w:basedOn w:val="Normale"/>
    <w:link w:val="TestofumettoCarattere"/>
    <w:uiPriority w:val="99"/>
    <w:semiHidden/>
    <w:unhideWhenUsed/>
    <w:rsid w:val="001F4BB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F4BB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BD18-E3CF-4247-9FFD-F466735F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2072</Words>
  <Characters>11811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Caran Srl</dc:creator>
  <cp:keywords/>
  <dc:description/>
  <cp:lastModifiedBy>Caran Srl</cp:lastModifiedBy>
  <cp:revision>4</cp:revision>
  <cp:lastPrinted>2011-06-01T08:11:00Z</cp:lastPrinted>
  <dcterms:created xsi:type="dcterms:W3CDTF">2013-06-10T13:22:00Z</dcterms:created>
  <dcterms:modified xsi:type="dcterms:W3CDTF">2013-06-19T07:41:00Z</dcterms:modified>
</cp:coreProperties>
</file>